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color w:val="auto"/>
          <w:highlight w:val="none"/>
          <w:shd w:fill="auto" w:val="clear"/>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951355" cy="661035"/>
            <wp:effectExtent l="0" t="0" r="0" b="0"/>
            <wp:wrapSquare wrapText="larges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2"/>
                    <a:stretch>
                      <a:fillRect/>
                    </a:stretch>
                  </pic:blipFill>
                  <pic:spPr bwMode="auto">
                    <a:xfrm>
                      <a:off x="0" y="0"/>
                      <a:ext cx="1951355" cy="661035"/>
                    </a:xfrm>
                    <a:prstGeom prst="rect">
                      <a:avLst/>
                    </a:prstGeom>
                    <a:noFill/>
                  </pic:spPr>
                </pic:pic>
              </a:graphicData>
            </a:graphic>
          </wp:anchor>
        </w:drawing>
      </w:r>
      <w:r>
        <w:rPr>
          <w:rFonts w:eastAsia="Arial"/>
          <w:color w:val="000000"/>
          <w:szCs w:val="20"/>
          <w:shd w:fill="auto" w:val="clear"/>
          <w:lang w:val="pl-PL"/>
        </w:rPr>
        <w:t>Załącznik nr 2 do Zaproszenia</w:t>
      </w:r>
      <w:r>
        <w:rPr>
          <w:color w:val="000000"/>
          <w:szCs w:val="20"/>
          <w:shd w:fill="auto" w:val="clear"/>
          <w:lang w:val="pl-PL"/>
        </w:rPr>
        <w:br/>
      </w:r>
      <w:r>
        <w:rPr>
          <w:rFonts w:eastAsia="Arial"/>
          <w:color w:val="000000"/>
          <w:szCs w:val="20"/>
          <w:shd w:fill="auto" w:val="clear"/>
          <w:lang w:val="pl-PL"/>
        </w:rPr>
        <w:t>Numer referencyjny: ZP.272.8.2026</w:t>
      </w:r>
    </w:p>
    <w:p>
      <w:pPr>
        <w:pStyle w:val="Normal"/>
        <w:spacing w:lineRule="auto" w:line="252" w:before="0" w:after="80"/>
        <w:jc w:val="center"/>
        <w:rPr>
          <w:rFonts w:eastAsia="Arial"/>
          <w:b/>
          <w:color w:val="auto"/>
          <w:szCs w:val="20"/>
          <w:highlight w:val="none"/>
          <w:shd w:fill="auto" w:val="clear"/>
          <w:lang w:val="pl-PL"/>
        </w:rPr>
      </w:pPr>
      <w:r>
        <w:rPr>
          <w:rFonts w:eastAsia="Arial"/>
          <w:b/>
          <w:color w:val="000000"/>
          <w:szCs w:val="20"/>
          <w:shd w:fill="auto" w:val="clear"/>
          <w:lang w:val="pl-PL"/>
        </w:rPr>
      </w:r>
    </w:p>
    <w:p>
      <w:pPr>
        <w:pStyle w:val="Normal"/>
        <w:spacing w:lineRule="auto" w:line="252" w:before="0" w:after="80"/>
        <w:jc w:val="center"/>
        <w:rPr>
          <w:rFonts w:eastAsia="Arial"/>
          <w:b/>
          <w:color w:val="auto"/>
          <w:szCs w:val="20"/>
          <w:highlight w:val="none"/>
          <w:shd w:fill="auto" w:val="clear"/>
          <w:lang w:val="pl-PL"/>
        </w:rPr>
      </w:pPr>
      <w:r>
        <w:rPr>
          <w:rFonts w:eastAsia="Arial"/>
          <w:b/>
          <w:color w:val="000000"/>
          <w:szCs w:val="20"/>
          <w:shd w:fill="auto" w:val="clear"/>
          <w:lang w:val="pl-PL"/>
        </w:rPr>
      </w:r>
    </w:p>
    <w:p>
      <w:pPr>
        <w:pStyle w:val="Normal"/>
        <w:spacing w:lineRule="auto" w:line="252" w:before="0" w:after="80"/>
        <w:jc w:val="center"/>
        <w:rPr>
          <w:color w:val="auto"/>
          <w:highlight w:val="none"/>
          <w:shd w:fill="auto" w:val="clear"/>
        </w:rPr>
      </w:pPr>
      <w:r>
        <w:rPr>
          <w:rFonts w:eastAsia="Arial"/>
          <w:b/>
          <w:color w:val="000000"/>
          <w:szCs w:val="20"/>
          <w:shd w:fill="auto" w:val="clear"/>
          <w:lang w:val="pl-PL"/>
        </w:rPr>
        <w:t>UMOWA nr ......... / projekt</w:t>
      </w:r>
    </w:p>
    <w:p>
      <w:pPr>
        <w:pStyle w:val="Normal"/>
        <w:spacing w:lineRule="auto" w:line="252" w:before="0" w:after="80"/>
        <w:jc w:val="center"/>
        <w:rPr>
          <w:color w:val="auto"/>
          <w:szCs w:val="20"/>
          <w:highlight w:val="none"/>
          <w:shd w:fill="auto" w:val="clear"/>
          <w:lang w:val="pl-PL"/>
        </w:rPr>
      </w:pPr>
      <w:r>
        <w:rPr>
          <w:color w:val="000000"/>
          <w:szCs w:val="20"/>
          <w:shd w:fill="auto" w:val="clear"/>
          <w:lang w:val="pl-PL"/>
        </w:rPr>
      </w:r>
    </w:p>
    <w:p>
      <w:pPr>
        <w:pStyle w:val="Normal"/>
        <w:spacing w:lineRule="auto" w:line="252" w:before="0" w:after="80"/>
        <w:rPr>
          <w:color w:val="auto"/>
          <w:highlight w:val="none"/>
          <w:shd w:fill="auto" w:val="clear"/>
        </w:rPr>
      </w:pPr>
      <w:r>
        <w:rPr>
          <w:rFonts w:eastAsia="Arial"/>
          <w:color w:val="000000"/>
          <w:szCs w:val="20"/>
          <w:shd w:fill="auto" w:val="clear"/>
          <w:lang w:val="pl-PL"/>
        </w:rPr>
        <w:t>zawarta w dniu .................. 2026 r. w Busku-Zdroju pomiędzy:</w:t>
      </w:r>
    </w:p>
    <w:p>
      <w:pPr>
        <w:pStyle w:val="Normal"/>
        <w:spacing w:lineRule="auto" w:line="252" w:before="0" w:after="80"/>
        <w:rPr>
          <w:color w:val="auto"/>
          <w:highlight w:val="none"/>
          <w:shd w:fill="auto" w:val="clear"/>
        </w:rPr>
      </w:pPr>
      <w:r>
        <w:rPr>
          <w:rFonts w:eastAsia="Arial"/>
          <w:color w:val="000000"/>
          <w:szCs w:val="20"/>
          <w:shd w:fill="auto" w:val="clear"/>
          <w:lang w:val="pl-PL"/>
        </w:rPr>
        <w:t xml:space="preserve">Powiat Buski, Al. Mickiewicza 15, 28-100 Busko-Zdrój, NIP: </w:t>
      </w:r>
      <w:r>
        <w:rPr>
          <w:rFonts w:eastAsia="Arial" w:cs="Arial"/>
          <w:color w:val="000000"/>
          <w:szCs w:val="20"/>
          <w:shd w:fill="auto" w:val="clear"/>
          <w:lang w:val="pl-PL"/>
        </w:rPr>
        <w:t>6551925375</w:t>
      </w:r>
      <w:r>
        <w:rPr>
          <w:rFonts w:eastAsia="Arial"/>
          <w:color w:val="000000"/>
          <w:szCs w:val="20"/>
          <w:shd w:fill="auto" w:val="clear"/>
          <w:lang w:val="pl-PL"/>
        </w:rPr>
        <w:t xml:space="preserve"> , </w:t>
      </w:r>
      <w:r>
        <w:rPr>
          <w:rFonts w:eastAsia="Arial" w:cs="Times New Roman"/>
          <w:color w:val="000000"/>
          <w:szCs w:val="20"/>
          <w:shd w:fill="auto" w:val="clear"/>
          <w:lang w:val="pl-PL"/>
        </w:rPr>
        <w:t xml:space="preserve">REGON: </w:t>
      </w:r>
      <w:r>
        <w:rPr>
          <w:rFonts w:eastAsia="Arial" w:cs="Arial"/>
          <w:color w:val="000000"/>
          <w:szCs w:val="20"/>
          <w:shd w:fill="auto" w:val="clear"/>
          <w:lang w:val="pl-PL"/>
        </w:rPr>
        <w:t>291009350</w:t>
      </w:r>
      <w:r>
        <w:rPr>
          <w:rFonts w:eastAsia="Arial" w:cs="Times New Roman"/>
          <w:color w:val="000000"/>
          <w:szCs w:val="20"/>
          <w:shd w:fill="auto" w:val="clear"/>
          <w:lang w:val="pl-PL"/>
        </w:rPr>
        <w:t xml:space="preserve"> </w:t>
      </w:r>
    </w:p>
    <w:p>
      <w:pPr>
        <w:pStyle w:val="Normal"/>
        <w:spacing w:lineRule="auto" w:line="252" w:before="0" w:after="80"/>
        <w:rPr>
          <w:color w:val="auto"/>
          <w:highlight w:val="none"/>
          <w:shd w:fill="auto" w:val="clear"/>
        </w:rPr>
      </w:pPr>
      <w:r>
        <w:rPr>
          <w:rFonts w:eastAsia="Arial"/>
          <w:color w:val="000000"/>
          <w:szCs w:val="20"/>
          <w:shd w:fill="auto" w:val="clear"/>
          <w:lang w:val="pl-PL"/>
        </w:rPr>
        <w:t>reprezentowanym przez Zarząd Powiatu w osobach:</w:t>
      </w:r>
    </w:p>
    <w:p>
      <w:pPr>
        <w:pStyle w:val="Normal"/>
        <w:spacing w:lineRule="auto" w:line="252" w:before="0" w:after="80"/>
        <w:rPr>
          <w:color w:val="auto"/>
          <w:highlight w:val="none"/>
          <w:shd w:fill="auto" w:val="clear"/>
        </w:rPr>
      </w:pPr>
      <w:r>
        <w:rPr>
          <w:rFonts w:eastAsia="Arial"/>
          <w:color w:val="000000"/>
          <w:szCs w:val="20"/>
          <w:shd w:fill="auto" w:val="clear"/>
          <w:lang w:val="pl-PL"/>
        </w:rPr>
        <w:t xml:space="preserve"> </w:t>
      </w:r>
      <w:r>
        <w:rPr>
          <w:rFonts w:eastAsia="Arial"/>
          <w:color w:val="000000"/>
          <w:szCs w:val="20"/>
          <w:shd w:fill="auto" w:val="clear"/>
          <w:lang w:val="pl-PL"/>
        </w:rPr>
        <w:t xml:space="preserve">.................................................., przy kontrasygnacie Skarbnika Powiatu, </w:t>
      </w:r>
    </w:p>
    <w:p>
      <w:pPr>
        <w:pStyle w:val="Normal"/>
        <w:spacing w:lineRule="auto" w:line="252" w:before="0" w:after="80"/>
        <w:rPr>
          <w:color w:val="auto"/>
          <w:highlight w:val="none"/>
          <w:shd w:fill="auto" w:val="clear"/>
        </w:rPr>
      </w:pPr>
      <w:r>
        <w:rPr>
          <w:rFonts w:eastAsia="Arial"/>
          <w:color w:val="000000"/>
          <w:szCs w:val="20"/>
          <w:shd w:fill="auto" w:val="clear"/>
          <w:lang w:val="pl-PL"/>
        </w:rPr>
        <w:t>zwanym dalej „Zamawiającym”,</w:t>
      </w:r>
    </w:p>
    <w:p>
      <w:pPr>
        <w:pStyle w:val="Normal"/>
        <w:spacing w:lineRule="auto" w:line="252" w:before="0" w:after="80"/>
        <w:rPr>
          <w:color w:val="auto"/>
          <w:highlight w:val="none"/>
          <w:shd w:fill="auto" w:val="clear"/>
        </w:rPr>
      </w:pPr>
      <w:r>
        <w:rPr>
          <w:rFonts w:eastAsia="Arial"/>
          <w:color w:val="000000"/>
          <w:szCs w:val="20"/>
          <w:shd w:fill="auto" w:val="clear"/>
          <w:lang w:val="pl-PL"/>
        </w:rPr>
        <w:t>a</w:t>
      </w:r>
      <w:r>
        <w:rPr>
          <w:color w:val="000000"/>
          <w:szCs w:val="20"/>
          <w:shd w:fill="auto" w:val="clear"/>
          <w:lang w:val="pl-PL"/>
        </w:rPr>
        <w:br/>
      </w:r>
      <w:r>
        <w:rPr>
          <w:rFonts w:eastAsia="Arial"/>
          <w:color w:val="000000"/>
          <w:szCs w:val="20"/>
          <w:shd w:fill="auto" w:val="clear"/>
          <w:lang w:val="pl-PL"/>
        </w:rPr>
        <w:t>............................................................................................................................., NIP: ...................................., REGON/KRS/CEIDG: ...................................., reprezentowanym przez: .................................................., zwanym dalej „Wykonawcą”.</w:t>
      </w:r>
    </w:p>
    <w:p>
      <w:pPr>
        <w:pStyle w:val="Normal"/>
        <w:spacing w:lineRule="auto" w:line="252" w:before="0" w:after="80"/>
        <w:rPr>
          <w:color w:val="auto"/>
          <w:highlight w:val="none"/>
          <w:shd w:fill="auto" w:val="clear"/>
        </w:rPr>
      </w:pPr>
      <w:r>
        <w:rPr>
          <w:rFonts w:eastAsia="Arial"/>
          <w:color w:val="000000"/>
          <w:szCs w:val="20"/>
          <w:shd w:fill="auto" w:val="clear"/>
          <w:lang w:val="pl-PL"/>
        </w:rPr>
        <w:t>Zamawiający i Wykonawca zwani są dalej łącznie „Stronami”.</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Umowa zostaje zawarta w wyniku postępowania prowadzonego na podstawie art. 157a ustawy o ochronie ludności i obronie cywilnej, z wyłączeniem stosowania ustawy Prawo zamówień publicznych, przy odpowiednim zastosowaniu wybranych rozwiązań wskazanych w Zaproszeniu jako elementów własnej procedury Zamawiającego.</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 Przedmiot umowy</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Zamawiający zleca, a Wykonawca przyjmuje do wykonania zadanie pn. „</w:t>
      </w:r>
      <w:r>
        <w:rPr>
          <w:rFonts w:eastAsia="Arial" w:cs="Times New Roman"/>
          <w:b/>
          <w:bCs/>
          <w:color w:val="000000"/>
          <w:szCs w:val="20"/>
          <w:shd w:fill="auto" w:val="clear"/>
          <w:lang w:val="pl-PL"/>
        </w:rPr>
        <w:t>Budowa budowli ochronnej                        o kategorii U-1 pod salą gimnastyczną na działkach nr 121/1, 121/5, 121/6, 122/1 i 122/6 przy Al. Mickiewicza 23 w Busku-Zdroju</w:t>
      </w:r>
      <w:r>
        <w:rPr>
          <w:rFonts w:eastAsia="Arial"/>
          <w:color w:val="000000"/>
          <w:szCs w:val="20"/>
          <w:shd w:fill="auto" w:val="clear"/>
          <w:lang w:val="pl-PL"/>
        </w:rPr>
        <w:t>”.</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Przedmiot umowy obejmuje w szczególności:</w:t>
      </w:r>
    </w:p>
    <w:p>
      <w:pPr>
        <w:pStyle w:val="ListNumber"/>
        <w:numPr>
          <w:ilvl w:val="0"/>
          <w:numId w:val="7"/>
        </w:numPr>
        <w:spacing w:lineRule="auto" w:line="252" w:before="0" w:after="80"/>
        <w:contextualSpacing/>
        <w:jc w:val="both"/>
        <w:rPr>
          <w:color w:val="auto"/>
          <w:highlight w:val="none"/>
          <w:shd w:fill="auto" w:val="clear"/>
        </w:rPr>
      </w:pPr>
      <w:r>
        <w:rPr>
          <w:rFonts w:eastAsia="Arial"/>
          <w:color w:val="000000"/>
          <w:szCs w:val="20"/>
          <w:shd w:fill="auto" w:val="clear"/>
          <w:lang w:val="pl-PL"/>
        </w:rPr>
        <w:t xml:space="preserve">wykonanie robót budowlanych i instalacyjnych niezbędnych do wykonania obiektu do pełnienia funkcji miejsca ukrycia U-1, </w:t>
      </w:r>
      <w:bookmarkStart w:id="0" w:name="_GoBack"/>
      <w:r>
        <w:rPr>
          <w:rFonts w:eastAsia="Arial"/>
          <w:color w:val="000000"/>
          <w:szCs w:val="20"/>
          <w:shd w:fill="auto" w:val="clear"/>
          <w:lang w:val="pl-PL"/>
        </w:rPr>
        <w:t>w tym robót dotyczących rozbiórki istniejącego budynku oraz wykonania nowego elementu budynku jako U-1, wykończenia i wyposażenia przewidzianego w OPZ,</w:t>
      </w:r>
      <w:bookmarkEnd w:id="0"/>
    </w:p>
    <w:p>
      <w:pPr>
        <w:pStyle w:val="ListNumber"/>
        <w:numPr>
          <w:ilvl w:val="0"/>
          <w:numId w:val="7"/>
        </w:numPr>
        <w:spacing w:lineRule="auto" w:line="252" w:before="0" w:after="80"/>
        <w:contextualSpacing/>
        <w:jc w:val="both"/>
        <w:rPr>
          <w:color w:val="auto"/>
          <w:highlight w:val="none"/>
          <w:shd w:fill="auto" w:val="clear"/>
        </w:rPr>
      </w:pPr>
      <w:r>
        <w:rPr>
          <w:rFonts w:eastAsia="Arial"/>
          <w:color w:val="000000"/>
          <w:szCs w:val="20"/>
          <w:shd w:fill="auto" w:val="clear"/>
          <w:lang w:val="pl-PL"/>
        </w:rPr>
        <w:t>przeprowadzenie prób, badań, sprawdzeń, odbiorów, szkoleń eksploatacyjnych, rozruchów i innych czynności koniecznych do prawidłowego użytkowania przedmiotu umowy;</w:t>
      </w:r>
    </w:p>
    <w:p>
      <w:pPr>
        <w:pStyle w:val="ListNumber"/>
        <w:numPr>
          <w:ilvl w:val="0"/>
          <w:numId w:val="7"/>
        </w:numPr>
        <w:spacing w:lineRule="auto" w:line="252" w:before="0" w:after="80"/>
        <w:contextualSpacing/>
        <w:jc w:val="both"/>
        <w:rPr>
          <w:color w:val="auto"/>
          <w:highlight w:val="none"/>
          <w:shd w:fill="auto" w:val="clear"/>
        </w:rPr>
      </w:pPr>
      <w:r>
        <w:rPr>
          <w:rFonts w:eastAsia="Arial"/>
          <w:color w:val="000000"/>
          <w:szCs w:val="20"/>
          <w:shd w:fill="auto" w:val="clear"/>
          <w:lang w:val="pl-PL"/>
        </w:rPr>
        <w:t>sporządzenie dokumentacji powykonawczej i przekazanie jej Zamawiającemu;</w:t>
      </w:r>
    </w:p>
    <w:p>
      <w:pPr>
        <w:pStyle w:val="ListNumber"/>
        <w:numPr>
          <w:ilvl w:val="0"/>
          <w:numId w:val="7"/>
        </w:numPr>
        <w:spacing w:lineRule="auto" w:line="252" w:before="0" w:after="80"/>
        <w:contextualSpacing/>
        <w:jc w:val="both"/>
        <w:rPr>
          <w:color w:val="auto"/>
          <w:highlight w:val="none"/>
          <w:shd w:fill="auto" w:val="clear"/>
        </w:rPr>
      </w:pPr>
      <w:r>
        <w:rPr>
          <w:rFonts w:eastAsia="Arial"/>
          <w:color w:val="000000"/>
          <w:szCs w:val="20"/>
          <w:shd w:fill="auto" w:val="clear"/>
          <w:lang w:val="pl-PL"/>
        </w:rPr>
        <w:t>uzyskanie decyzji o pozwoleniu na użytkowanie albo innej decyzji, zaświadczenia lub skutecznego zawiadomienia właściwego organu, jeżeli jest wymagane zgodnie z Prawem budowlanym.</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 xml:space="preserve">Przedmiot umowy zostanie wykonany zgodnie z Umową, Zaproszeniem, ofertą Wykonawcy, OPZ, </w:t>
      </w:r>
      <w:r>
        <w:rPr>
          <w:rFonts w:eastAsia="Times New Roman" w:cs="Arial"/>
          <w:color w:val="000000"/>
          <w:szCs w:val="20"/>
          <w:shd w:fill="auto" w:val="clear"/>
          <w:lang w:val="pl-PL"/>
        </w:rPr>
        <w:t>przedmiarem robót</w:t>
      </w:r>
      <w:r>
        <w:rPr>
          <w:rFonts w:eastAsia="Times New Roman" w:cs="Arial"/>
          <w:bCs/>
          <w:color w:val="000000"/>
          <w:szCs w:val="20"/>
          <w:shd w:fill="auto" w:val="clear"/>
          <w:lang w:val="pl-PL"/>
        </w:rPr>
        <w:t xml:space="preserve">, specyfikacją techniczną wykonania i odbioru robót budowlanych, </w:t>
      </w:r>
      <w:r>
        <w:rPr>
          <w:rFonts w:eastAsia="Arial"/>
          <w:color w:val="000000"/>
          <w:szCs w:val="20"/>
          <w:shd w:fill="auto" w:val="clear"/>
          <w:lang w:val="pl-PL"/>
        </w:rPr>
        <w:t>programem inwestycji, wyjaśnieniami udzielonymi w postępowaniu, zasadami wiedzy technicznej, przepisami prawa, normami, decyzjami administracyjnymi oraz wymaganiami programu finansowania OLiOC.</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Dokumenty składające się na umowę należy interpretować łącznie. W przypadku rozbieżności pierwszeństwo mają kolejno: Umowa, Zaproszenie wraz z wyjaśnieniami, OPZ, oferta Wykonawcy, harmonogram rzeczowo-finansowy, pozostałe załączniki.</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2. Podstawa prawna i finansowanie</w:t>
      </w:r>
    </w:p>
    <w:p>
      <w:pPr>
        <w:pStyle w:val="ListParagraph"/>
        <w:numPr>
          <w:ilvl w:val="0"/>
          <w:numId w:val="32"/>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Umowa jest zawierana w związku z realizacją zadania z zakresu ochrony ludności i obrony cywilnej, bezpośrednio służącego zapewnieniu infrastruktury miejsca doraźnego schronienia. Do zamówienia zastosowano art. 157a ustawy o OLiOC.</w:t>
      </w:r>
    </w:p>
    <w:p>
      <w:pPr>
        <w:pStyle w:val="ListParagraph"/>
        <w:numPr>
          <w:ilvl w:val="0"/>
          <w:numId w:val="32"/>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Zadanie jest dofinansowane ze środków budżetu państwa w ramach Programu Ochrony Ludności i Obrony Cywilnej na lata 2025-2026 dotacją Wojewody Świętokrzyskiego. Wykonawca zobowiązuje się realizować umowę w sposób umożliwiający Zamawiającemu prawidłowe rozliczenie dofinansowania, w tym terminowe przekazywanie dokumentów, zestawień, oświadczeń i wyjaśnień.</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3. Termin wykonania</w:t>
      </w:r>
    </w:p>
    <w:p>
      <w:pPr>
        <w:pStyle w:val="ListParagraph"/>
        <w:numPr>
          <w:ilvl w:val="0"/>
          <w:numId w:val="31"/>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 xml:space="preserve">Wykonawca zobowiązuje się wykonać całość przedmiotu umowy </w:t>
      </w:r>
      <w:r>
        <w:rPr>
          <w:rFonts w:eastAsia="Arial"/>
          <w:color w:val="000000"/>
          <w:szCs w:val="20"/>
          <w:shd w:fill="auto" w:val="clear"/>
          <w:lang w:val="pl-PL"/>
        </w:rPr>
        <w:t>do dnia 10 grudnia 2026 r.</w:t>
      </w:r>
    </w:p>
    <w:p>
      <w:pPr>
        <w:pStyle w:val="ListParagraph"/>
        <w:numPr>
          <w:ilvl w:val="0"/>
          <w:numId w:val="31"/>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 wykonanie całości przedmiotu umowy uznaje się łączne spełnienie następujących warunków: zakończenie robót, przekazanie kompletnej dokumentacji powykonawczej i odbiorowej, podpisanie protokołu odbioru końcowego bez zastrzeżeń istotnych.</w:t>
      </w:r>
    </w:p>
    <w:p>
      <w:pPr>
        <w:pStyle w:val="ListParagraph"/>
        <w:numPr>
          <w:ilvl w:val="0"/>
          <w:numId w:val="31"/>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 terminie 7 dni od zawarcia umowy Wykonawca przedłoży harmonogram rzeczowo-finansowy. Harmonogram wymaga akceptacji Zamawiającego i nie może zmieniać terminu końcowego bez aneksu.</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4. Obowiązki Wykonawcy</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Wykonawca zobowiązuje się w szczególności do:</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wykonania przedmiotu umowy z należytą starannością zawodową, zgodnie z przepisami prawa, zasadami wiedzy technicznej i wymaganiami Zamawiającego;</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zapewnienia osób posiadających wymagane uprawnienia, w tym kierownika budowy wskazanego w ofercie, oraz utrzymania ich udziału przez okres realizacji umowy;</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zorganizowania, zabezpieczenia i utrzymania terenu robót, w tym zapewnienia BHP, ochrony mienia, ochrony przeciwpożarowej i porządku;</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uzyskania i przekazania atestów, certyfikatów, deklaracji właściwości użytkowych, instrukcji, kart gwarancyjnych oraz dokumentów dopuszczających materiały i urządzenia do stosowania;</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usunięcia odpadów, uporządkowania terenu i naprawienia szkód wyrządzonych Zamawiającemu lub osobom trzecim;</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bieżącego informowania Zamawiającego o ryzykach mających wpływ na termin, koszt, jakość, finansowanie lub rozliczenie zadania;</w:t>
      </w:r>
    </w:p>
    <w:p>
      <w:pPr>
        <w:pStyle w:val="ListNumber"/>
        <w:numPr>
          <w:ilvl w:val="0"/>
          <w:numId w:val="8"/>
        </w:numPr>
        <w:spacing w:lineRule="auto" w:line="252" w:before="0" w:after="80"/>
        <w:contextualSpacing/>
        <w:jc w:val="both"/>
        <w:rPr>
          <w:color w:val="auto"/>
          <w:highlight w:val="none"/>
          <w:shd w:fill="auto" w:val="clear"/>
        </w:rPr>
      </w:pPr>
      <w:r>
        <w:rPr>
          <w:rFonts w:eastAsia="Arial"/>
          <w:color w:val="000000"/>
          <w:szCs w:val="20"/>
          <w:shd w:fill="auto" w:val="clear"/>
          <w:lang w:val="pl-PL"/>
        </w:rPr>
        <w:t>przestrzegania przepisów o ochronie danych osobowych, tajemnicy przedsiębiorstwa i informacji wrażliwych związanych z infrastrukturą ochronną.</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Zmiana kierownika budowy lub innej osoby wskazanej w ofercie wymaga uprzedniej zgody Zamawiającego. Osoba zastępująca musi spełniać wymagania nie niższe niż określone w Zaproszeniu, a jeżeli doświadczenie osoby było punktowane - nie niższe niż doświadczenie osoby wskazanej w ofercie, chyba że Zamawiający wyrazi zgodę ze względu na obiektywne okoliczności.</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5. Obowiązki Zamawiającego</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Zamawiający zobowiązuje się do współdziałania przy realizacji umowy, w szczególności do przekazania dokumentacji projektowej oraz posiadanych dokumentów dotyczących obiektu, udzielenia niezbędnych pełnomocnictw, zapewnienia dostępu do obiektu, udziału w uzgodnieniach i odbiorach oraz terminowej zapłaty wynagrodzenia zgodnie z umową.</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6. Materiały, urządzenia i równoważność</w:t>
      </w:r>
    </w:p>
    <w:p>
      <w:pPr>
        <w:pStyle w:val="ListParagraph"/>
        <w:numPr>
          <w:ilvl w:val="0"/>
          <w:numId w:val="30"/>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Materiały i urządzenia muszą być fabrycznie nowe, pełnowartościowe, dopuszczone do obrotu i stosowania w budownictwie, zgodne z dokumentacją, OPZ, przepisami i normami. Wykonawca przed wbudowaniem przedłoży Zamawiającemu dokumenty potwierdzające ich zgodność oraz uzyska akceptację Zamawiającego lub inspektora nadzoru, jeżeli został ustanowiony.</w:t>
      </w:r>
    </w:p>
    <w:p>
      <w:pPr>
        <w:pStyle w:val="ListParagraph"/>
        <w:numPr>
          <w:ilvl w:val="0"/>
          <w:numId w:val="30"/>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Jeżeli dokumentacja lub OPZ wskazują znaki towarowe, normy lub pochodzenie, dopuszcza się rozwiązania równoważne, pod warunkiem że zapewniają parametry nie gorsze niż wymagane i zostaną zaakceptowane przez Zamawiającego.</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7. Podwykonawcy</w:t>
      </w:r>
    </w:p>
    <w:p>
      <w:pPr>
        <w:pStyle w:val="ListParagraph"/>
        <w:numPr>
          <w:ilvl w:val="0"/>
          <w:numId w:val="29"/>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może powierzyć wykonanie części zamówienia podwykonawcom na zasadach określonych               w umowie. Powierzenie części zamówienia podwykonawcom nie zwalnia Wykonawcy z odpowiedzialności wobec Zamawiającego za należyte wykonanie umowy.</w:t>
      </w:r>
    </w:p>
    <w:p>
      <w:pPr>
        <w:pStyle w:val="ListParagraph"/>
        <w:numPr>
          <w:ilvl w:val="0"/>
          <w:numId w:val="29"/>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przedłoży Zamawiającemu projekt umowy o podwykonawstwo robót budowlanych oraz projekt jej zmiany. Zamawiający może zgłosić zastrzeżenia w terminie 7 dni od otrzymania projektu. Brak zastrzeżeń w tym terminie oznacza akceptację projektu.</w:t>
      </w:r>
    </w:p>
    <w:p>
      <w:pPr>
        <w:pStyle w:val="ListParagraph"/>
        <w:numPr>
          <w:ilvl w:val="0"/>
          <w:numId w:val="29"/>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przedłoży Zamawiającemu kopię zawartej umowy o podwykonawstwo robót budowlanych, dostaw lub usług oraz jej zmian w terminie 7 dni od zawarcia, z zastrzeżeniem, że obowiązek ten nie dotyczy umów o wartości niższej niż 0,5% wynagrodzenia brutto, chyba że wartość umowy przekracza 50 000 zł.</w:t>
      </w:r>
    </w:p>
    <w:p>
      <w:pPr>
        <w:pStyle w:val="ListParagraph"/>
        <w:numPr>
          <w:ilvl w:val="0"/>
          <w:numId w:val="29"/>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Umowa z podwykonawcą lub dalszym podwykonawcą nie może przewidywać terminu zapłaty dłuższego niż 30 dni od dnia doręczenia prawidłowej faktury lub rachunku. Warunki umowy podwykonawczej nie mogą być mniej korzystne dla podwykonawcy niż wymagania wynikające z niniejszej umowy w zakresie zapłaty              i zabezpieczenia.</w:t>
      </w:r>
    </w:p>
    <w:p>
      <w:pPr>
        <w:pStyle w:val="ListParagraph"/>
        <w:numPr>
          <w:ilvl w:val="0"/>
          <w:numId w:val="29"/>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Warunkiem zapłaty drugiej i następnych części wynagrodzenia Wykonawcy, a przy rozliczeniu jednorazowym - warunkiem zapłaty wynagrodzenia końcowego, jest przedstawienie dowodów zapłaty wymagalnego wynagrodzenia podwykonawcom i dalszym podwykonawcom. W razie braku dowodów Zamawiający może wstrzymać wypłatę odpowiedniej części wynagrodzenia albo dokonać bezpośredniej zapłaty podwykonawcy na zasadach wskazanych w umowie i Kodeksie cywilnym.</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8. Zasoby podmiotu trzeciego</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Jeżeli Wykonawca w postępowaniu polegał na zasobach podmiotu trzeciego, jest zobowiązany zapewnić rzeczywisty udział tego podmiotu w realizacji zamówienia w zakresie, w jakim zasoby były udostępniane. Zmiana albo rezygnacja z podmiotu trzeciego wymaga uprzedniej zgody Zamawiającego oraz wykazania, że nowy podmiot albo Wykonawca samodzielnie spełnia warunki udziału w stopniu nie mniejszym niż wymagany                      w postępowaniu.</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9. Zatrudnienie i personel</w:t>
      </w:r>
    </w:p>
    <w:p>
      <w:pPr>
        <w:pStyle w:val="ListParagraph"/>
        <w:numPr>
          <w:ilvl w:val="0"/>
          <w:numId w:val="28"/>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Zamawiający wymaga, aby osoby wykonujące czynności fizyczne i organizacyjne przy robotach budowlanych, które polegają na wykonywaniu pracy w sposób określony w art. 22 § 1 Kodeksu pracy, były zatrudnione na podstawie stosunku pracy przez Wykonawcę lub podwykonawcę, o ile czynności te nie są wykonywane osobiście przez osoby prowadzące działalność gospodarczą.</w:t>
      </w:r>
    </w:p>
    <w:p>
      <w:pPr>
        <w:pStyle w:val="ListParagraph"/>
        <w:numPr>
          <w:ilvl w:val="0"/>
          <w:numId w:val="28"/>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Na żądanie Zamawiającego Wykonawca przedłoży oświadczenie o zatrudnieniu osób na podstawie umowy o pracę, zanonimizowane dokumenty potwierdzające zatrudnienie albo inne dokumenty dopuszczalne prawem. Naruszenie obowiązków zatrudnieniowych może skutkować karami umownymi.</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10. Wynagrodzenie</w:t>
      </w:r>
    </w:p>
    <w:p>
      <w:pPr>
        <w:pStyle w:val="ListParagraph"/>
        <w:numPr>
          <w:ilvl w:val="0"/>
          <w:numId w:val="27"/>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 wykonanie całości przedmiotu umowy Zamawiający zapłaci Wykonawcy wynagrodzenie ryczałtowe brutto w kwocie: ..........………………………............... zł, słownie: ......……………………................…, w tym podatek VAT w kwocie: ................................ zł.</w:t>
      </w:r>
    </w:p>
    <w:p>
      <w:pPr>
        <w:pStyle w:val="ListParagraph"/>
        <w:numPr>
          <w:ilvl w:val="0"/>
          <w:numId w:val="27"/>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Wynagrodzenie obejmuje wszystkie koszty, ryzyka i czynności niezbędne do należytego wykonania umowy, w tym roboty, materiały, urządzenia, próby, odbiory, dokumentację powykonawczą, koszty zabezpieczenia, ubezpieczenia, podwykonawców, serwisów i przeglądów wymaganych dla utrzymania gwarancji.</w:t>
      </w:r>
    </w:p>
    <w:p>
      <w:pPr>
        <w:pStyle w:val="ListParagraph"/>
        <w:numPr>
          <w:ilvl w:val="0"/>
          <w:numId w:val="27"/>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Wynagrodzenie ma charakter ryczałtowy w rozumieniu art. 632 Kodeksu cywilnego. Wykonawca nie może żądać podwyższenia wynagrodzenia z powodu błędnego oszacowania zakresu, chyba że Umowa wyraźnie przewiduje zmianę wynagrodzenia albo wynika to z bezwzględnie obowiązujących przepisów prawa.</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11. Zasady płatności</w:t>
      </w:r>
    </w:p>
    <w:p>
      <w:pPr>
        <w:pStyle w:val="ListParagraph"/>
        <w:numPr>
          <w:ilvl w:val="0"/>
          <w:numId w:val="26"/>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Zapłata wynagrodzenia nastąpi na podstawie prawidłowo wystawionej faktury oraz protokołu odbioru końcowego podpisanego przez Zamawiającego bez zastrzeżeń istotnych, w terminie do 30 dni od dnia doręczenia faktury Zamawiającemu.</w:t>
      </w:r>
    </w:p>
    <w:p>
      <w:pPr>
        <w:pStyle w:val="ListParagraph"/>
        <w:numPr>
          <w:ilvl w:val="0"/>
          <w:numId w:val="26"/>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Zamawiający dopuszcza płatności częściowe wyłącznie wtedy, gdy zostaną przewidziane w zatwierdzonym harmonogramie rzeczowo-finansowym i będą zgodne z zasadami finansowania zadania oraz planem płatności Zamawiającego. Płatność częściowa ma charakter powykonawczy i wymaga protokołu odbioru częściowego oraz dokumentów rozliczeniowych.</w:t>
      </w:r>
    </w:p>
    <w:p>
      <w:pPr>
        <w:pStyle w:val="ListParagraph"/>
        <w:numPr>
          <w:ilvl w:val="0"/>
          <w:numId w:val="26"/>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Płatność zostanie dokonana na rachunek bankowy Wykonawcy wskazany na fakturze, ujawniony w wykazie podatników VAT, jeżeli taki obowiązek dotyczy Wykonawcy. Zamawiający może zastosować mechanizm podzielonej płatności.</w:t>
      </w:r>
    </w:p>
    <w:p>
      <w:pPr>
        <w:pStyle w:val="ListParagraph"/>
        <w:numPr>
          <w:ilvl w:val="0"/>
          <w:numId w:val="26"/>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nie może przenieść wierzytelności z umowy na osobę trzecią bez uprzedniej pisemnej zgody Zamawiającego.</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12. Zabezpieczenie należytego wykonania umowy</w:t>
      </w:r>
    </w:p>
    <w:p>
      <w:pPr>
        <w:pStyle w:val="ListParagraph"/>
        <w:numPr>
          <w:ilvl w:val="0"/>
          <w:numId w:val="25"/>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wnosi przed zawarciem umowy zabezpieczenie należytego wykonania umowy w wysokości 5% ceny całkowitej brutto podanej w ofercie, tj. ................................ zł.</w:t>
      </w:r>
    </w:p>
    <w:p>
      <w:pPr>
        <w:pStyle w:val="ListParagraph"/>
        <w:numPr>
          <w:ilvl w:val="0"/>
          <w:numId w:val="25"/>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Zabezpieczenie zostaje wniesione w formie: ........................................................</w:t>
      </w:r>
    </w:p>
    <w:p>
      <w:pPr>
        <w:pStyle w:val="ListParagraph"/>
        <w:numPr>
          <w:ilvl w:val="0"/>
          <w:numId w:val="25"/>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70% zabezpieczenia zostanie zwrócone w terminie 30 dni od dnia wykonania przedmiotu umowy i uznania go przez Zamawiającego za należycie wykonany, po podpisaniu protokołu odbioru końcowego. 30% zabezpieczenia zostanie zatrzymane na zabezpieczenie roszczeń z tytułu rękojmi i gwarancji i zwrócone w terminie 15 dni po upływie okresu rękojmi lub gwarancji, zależnie od tego, który okres upływa później.</w:t>
      </w:r>
    </w:p>
    <w:p>
      <w:pPr>
        <w:pStyle w:val="ListParagraph"/>
        <w:numPr>
          <w:ilvl w:val="0"/>
          <w:numId w:val="25"/>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Jeżeli zabezpieczenie wniesiono w formie gwarancji albo poręczenia, dokument musi być bezwarunkowy, nieodwołalny, płatny na pierwsze pisemne żądanie Zamawiającego i obejmować cały wymagany okres zabezpieczenia. Wykonawca ma obowiązek przedłużyć zabezpieczenie w przypadku przedłużenia terminu realizacji umowy lub okresu zabezpieczenia roszczeń.</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13. Ubezpieczenie</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Wykonawca najpóźniej w dniu przekazania terenu robót przedłoży polisę OC działalności oraz, jeżeli jest dostępna dla zakresu robót, ubezpieczenie ryzyk budowy/montażu na kwotę nie niższą niż wartość wynagrodzenia brutto. Ubezpieczenie musi obejmować szkody w mieniu i na osobie wyrządzone Zamawiającemu i osobom trzecim w związku z realizacją umowy.</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14. Odbiory</w:t>
      </w:r>
    </w:p>
    <w:p>
      <w:pPr>
        <w:pStyle w:val="ListParagraph"/>
        <w:numPr>
          <w:ilvl w:val="0"/>
          <w:numId w:val="24"/>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Odbiory obejmują odbiory robót zanikających lub ulegających zakryciu, odbiory częściowe, jeżeli zostały przewidziane, oraz odbiór końcowy.</w:t>
      </w:r>
    </w:p>
    <w:p>
      <w:pPr>
        <w:pStyle w:val="ListParagraph"/>
        <w:numPr>
          <w:ilvl w:val="0"/>
          <w:numId w:val="24"/>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zgłasza gotowość do odbioru końcowego na piśmie. Do zgłoszenia załącza w szczególności: dokumentację powykonawczą w tym inwentaryzację geodezyjną, dziennik budowy, oświadczenia kierownika budowy, protokoły badań i prób, atesty, certyfikaty, deklaracje właściwości użytkowych, instrukcje eksploatacji, karty gwarancyjne,   potwierdzenia utylizacji odpadów, decyzję o pozwoleniu na użytkowanie albo dokument potwierdzający skuteczne zakończenie procedury wymaganej Prawem budowlanym, a także rozliczenie podwykonawców.</w:t>
      </w:r>
    </w:p>
    <w:p>
      <w:pPr>
        <w:pStyle w:val="ListParagraph"/>
        <w:numPr>
          <w:ilvl w:val="0"/>
          <w:numId w:val="24"/>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Zamawiający przystąpi do odbioru w terminie 7 dni od dnia otrzymania kompletnego zgłoszenia. Jeżeli zgłoszenie lub dokumenty są niekompletne, termin biegnie od dnia ich uzupełnienia.</w:t>
      </w:r>
    </w:p>
    <w:p>
      <w:pPr>
        <w:pStyle w:val="ListParagraph"/>
        <w:numPr>
          <w:ilvl w:val="0"/>
          <w:numId w:val="24"/>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 razie stwierdzenia wad istotnych Zamawiający może odmówić odbioru do czasu ich usunięcia. W razie wad nieistotnych Zamawiający może dokonać odbioru z wyznaczeniem terminu ich usunięcia albo obniżyć wynagrodzenie, jeżeli wada nie nadaje się do usunięcia.</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15. Rękojmia i gwarancja</w:t>
      </w:r>
    </w:p>
    <w:p>
      <w:pPr>
        <w:pStyle w:val="ListParagraph"/>
        <w:numPr>
          <w:ilvl w:val="0"/>
          <w:numId w:val="23"/>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udziela rękojmi na okres 60 miesięcy od dnia odbioru końcowego. Wykonawca udziela gwarancji jakości na okres wskazany w ofercie, nie krótszy niż 36 miesięcy, liczony od dnia odbioru końcowego.</w:t>
      </w:r>
    </w:p>
    <w:p>
      <w:pPr>
        <w:pStyle w:val="ListParagraph"/>
        <w:numPr>
          <w:ilvl w:val="0"/>
          <w:numId w:val="23"/>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 okresie gwarancji Wykonawca usuwa wady i usterki nieodpłatnie. Czas reakcji na zgłoszenie wynosi maksymalnie 3 dni robocze, a termin usunięcia wady 14 dni roboczych od zgłoszenia, chyba że Strony uzgodnią inny termin z przyczyn technologicznych.</w:t>
      </w:r>
    </w:p>
    <w:p>
      <w:pPr>
        <w:pStyle w:val="ListParagraph"/>
        <w:numPr>
          <w:ilvl w:val="0"/>
          <w:numId w:val="23"/>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Jeżeli Wykonawca nie usunie wady w terminie, Zamawiający może zlecić jej usunięcie osobie trzeciej na koszt i ryzyko Wykonawcy, bez konieczności uzyskiwania zgody sądu, zachowując uprawnienia z rękojmi, gwarancji i kar umownych.</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16. Kary umowne</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Wykonawca zapłaci Zamawiającemu kary umowne:</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zwłokę w wykonaniu przedmiotu umowy - 0,1% wynagrodzenia brutto za każdy dzień zwłoki;</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zwłokę w usunięciu wad stwierdzonych przy odbiorze lub w okresie rękojmi/gwarancji - 0,05% wynagrodzenia brutto za każdy dzień zwłoki;</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odstąpienie od umowy przez Zamawiającego z przyczyn leżących po stronie Wykonawcy - 20% wynagrodzenia brutto;</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nieprzedłożenie harmonogramu, dokumentów odbiorowych, dokumentów dotyczących podwykonawców albo dokumentów zatrudnieniowych w terminie - 1 000 zł za każdy przypadek i każdy rozpoczęty dzień zwłoki;</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brak zapłaty lub nieterminową zapłatę wynagrodzenia podwykonawcy albo dalszemu podwykonawcy - 0,1% wynagrodzenia brutto za każdy przypadek;</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wykonywanie robót przez niezgłoszonego lub niezaakceptowanego podwykonawcę - 20 000 zł za każdy przypadek;</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zmianę osoby wskazanej w ofercie bez zgody Zamawiającego - 10 000 zł za każdy przypadek;</w:t>
      </w:r>
    </w:p>
    <w:p>
      <w:pPr>
        <w:pStyle w:val="ListNumber"/>
        <w:numPr>
          <w:ilvl w:val="0"/>
          <w:numId w:val="4"/>
        </w:numPr>
        <w:spacing w:lineRule="auto" w:line="252" w:before="0" w:after="80"/>
        <w:contextualSpacing/>
        <w:jc w:val="both"/>
        <w:rPr>
          <w:color w:val="auto"/>
          <w:highlight w:val="none"/>
          <w:shd w:fill="auto" w:val="clear"/>
        </w:rPr>
      </w:pPr>
      <w:r>
        <w:rPr>
          <w:rFonts w:eastAsia="Arial"/>
          <w:color w:val="000000"/>
          <w:szCs w:val="20"/>
          <w:shd w:fill="auto" w:val="clear"/>
          <w:lang w:val="pl-PL"/>
        </w:rPr>
        <w:t>za naruszenie obowiązków dotyczących poufności, informacji wrażliwych lub danych osobowych - 10 000 zł za każdy przypadek.</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Łączna maksymalna wysokość kar umownych nie przekroczy 30% wynagrodzenia brutto. Zamawiający może dochodzić odszkodowania uzupełniającego na zasadach ogólnych, jeżeli szkoda przewyższa wysokość naliczonych kar.</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Zamawiający może potrącić kary umowne z wynagrodzenia Wykonawcy lub z zabezpieczenia należytego wykonania umowy, po uprzednim doręczeniu noty obciążeniowej albo oświadczenia o naliczeniu kary.</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17. Odstąpienie od umowy</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Zamawiający może odstąpić od umowy w całości albo w części w terminie 30 dni od powzięcia wiadomości                  o podstawie odstąpienia, w szczególności gdy:</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Wykonawca nie rozpoczął realizacji umowy lub przerwał ją bez uzasadnionej przyczyny i nie podjął jej mimo wezwania;</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zwłoka Wykonawcy wskazuje, że nie jest prawdopodobne wykonanie umowy w terminie;</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Wykonawca realizuje umowę wadliwie lub sprzecznie z umową i nie zmienia sposobu wykonania mimo wezwania;</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wystąpi konieczność wielokrotnej bezpośredniej zapłaty podwykonawcom albo zaległości wobec podwykonawców przekroczą 5% wynagrodzenia brutto;</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Wykonawca utraci wymagane uprawnienia, zdolność do wykonania umowy, ubezpieczenie lub zabezpieczenie;</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utracono lub ograniczono finansowanie zadania, a dalsza realizacja nie leży w interesie publicznym;</w:t>
      </w:r>
    </w:p>
    <w:p>
      <w:pPr>
        <w:pStyle w:val="ListNumber"/>
        <w:numPr>
          <w:ilvl w:val="0"/>
          <w:numId w:val="9"/>
        </w:numPr>
        <w:spacing w:lineRule="auto" w:line="252" w:before="0" w:after="80"/>
        <w:contextualSpacing/>
        <w:jc w:val="both"/>
        <w:rPr>
          <w:color w:val="auto"/>
          <w:highlight w:val="none"/>
          <w:shd w:fill="auto" w:val="clear"/>
        </w:rPr>
      </w:pPr>
      <w:r>
        <w:rPr>
          <w:rFonts w:eastAsia="Arial"/>
          <w:color w:val="000000"/>
          <w:szCs w:val="20"/>
          <w:shd w:fill="auto" w:val="clear"/>
          <w:lang w:val="pl-PL"/>
        </w:rPr>
        <w:t>wystąpi istotna zmiana okoliczności związana z zadaniami ochrony ludności i obrony cywilnej.</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W przypadku odstąpienia Strony sporządzą protokół inwentaryzacji wykonanych prac. Wykonawca zabezpieczy teren robót, przekaże dokumentację i rozliczy wykonane prace w zakresie przyjętym przez Zamawiającego.</w:t>
      </w:r>
    </w:p>
    <w:p>
      <w:pPr>
        <w:pStyle w:val="Normal"/>
        <w:spacing w:lineRule="auto" w:line="252" w:before="0" w:after="80"/>
        <w:jc w:val="center"/>
        <w:rPr>
          <w:color w:val="auto"/>
          <w:highlight w:val="none"/>
          <w:shd w:fill="auto" w:val="clear"/>
        </w:rPr>
      </w:pPr>
      <w:r>
        <w:rPr>
          <w:b/>
          <w:bCs/>
          <w:color w:val="000000"/>
          <w:szCs w:val="20"/>
          <w:shd w:fill="auto" w:val="clear"/>
          <w:lang w:val="pl-PL"/>
        </w:rPr>
        <w:t>§ 18. Zmiany umowy</w:t>
      </w:r>
    </w:p>
    <w:p>
      <w:pPr>
        <w:pStyle w:val="Normal"/>
        <w:numPr>
          <w:ilvl w:val="0"/>
          <w:numId w:val="10"/>
        </w:numPr>
        <w:tabs>
          <w:tab w:val="clear" w:pos="720"/>
          <w:tab w:val="left" w:pos="284" w:leader="none"/>
        </w:tabs>
        <w:spacing w:lineRule="auto" w:line="252" w:before="0" w:after="80"/>
        <w:ind w:hanging="284" w:start="284"/>
        <w:jc w:val="both"/>
        <w:rPr>
          <w:color w:val="auto"/>
          <w:highlight w:val="none"/>
          <w:shd w:fill="auto" w:val="clear"/>
        </w:rPr>
      </w:pPr>
      <w:r>
        <w:rPr>
          <w:color w:val="000000"/>
          <w:szCs w:val="20"/>
          <w:shd w:fill="auto" w:val="clear"/>
          <w:lang w:val="pl-PL"/>
        </w:rPr>
        <w:t>Dopuszcza się stosowanie robót zamiennych w następujących okolicznościach:</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na wniosek Wykonawcy, za zgodą Zamawiającego, w trakcie prowadzenia robót mogą być dokonywane zmiany technologii wykonania elementów robót. Dopuszcza się je wyłącznie w przypadku, gdy proponowane przez Wykonawcę rozwiązanie jest równorzędne lub lepsze funkcjonalnie od rozwiązania przewidzianego w opisie przedmiotu zamówienia, zwanym dalej „OPZ”. W takim przypadku Wykonawca przedstawia projekt zamienny, uzgodniony z autorem OPZ, zawierający opis proponowanych zmian wraz z rysunkami. Projekt taki wymaga akceptacji i zatwierdzenia do realizacji przez Zamawiającego, który korzysta z opinii inspektora nadzoru;</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gdy z punktu widzenia Zamawiającego zachodzi potrzeba zmiany rozwiązań polegających na osiągnięciu lepszych efektów wizualnych, praktycznych bądź technicznych wynikających z OPZ lub konieczności wprowadzenia rozwiązań oszczędnościowych w celu uzyskania oszczędności, Zamawiający sporządza protokół robót zamiennych, a następnie wytyczne do zaprojektowania i wykonania robót;</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konieczności wykonania robót dodatkowych lub zamiennych w stosunku do robót przewidzianych w dokumentacji, jeżeli wykonanie tych robót będzie niezbędne do prawidłowego i zgodnego z zasadami wiedzy technicznej oraz obowiązującymi przepisami wykonania przedmiotu umowy;</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konieczności wykonania robót dodatkowych lub zamiennych w stosunku do robót przewidzianych w dokumentacji, tj. OPZ, w sytuacji gdy zaprojektowane roboty były błędne, niezupełne lub zostały ujawnione podczas realizacji robót, a wykonanie tych robót będzie niezbędne do prawidłowego i zgodnego z zasadami wiedzy technicznej oraz obowiązującymi przepisami wykonania przedmiotu umowy;</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konieczności zrealizowania OPZ przy zastosowaniu innych rozwiązań technicznych lub materiałowych ze względu na zmiany obowiązującego prawa, jeżeli zmiany te uniemożliwiałyby przekazanie obiektu do użytkowania;</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konieczności wprowadzenia zmian spowodowanych kolizją z planowanymi lub równolegle prowadzonymi przez inne podmioty inwestycjami. W takim przypadku zmiany w umowie zostaną ograniczone do zmian koniecznych, powodujących uniknięcie kolizji;</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w przypadku gdy zmiany określone w pkt 2–6 spowodują wzrost kosztów, roboty te będą traktowane jako roboty dodatkowe, a Zamawiający sporządzi aneks dotyczący wykonania robót dodatkowych;</w:t>
      </w:r>
    </w:p>
    <w:p>
      <w:pPr>
        <w:pStyle w:val="Normal"/>
        <w:numPr>
          <w:ilvl w:val="0"/>
          <w:numId w:val="15"/>
        </w:numPr>
        <w:spacing w:lineRule="auto" w:line="252" w:before="0" w:after="80"/>
        <w:jc w:val="both"/>
        <w:rPr>
          <w:color w:val="auto"/>
          <w:highlight w:val="none"/>
          <w:shd w:fill="auto" w:val="clear"/>
        </w:rPr>
      </w:pPr>
      <w:r>
        <w:rPr>
          <w:color w:val="000000"/>
          <w:szCs w:val="20"/>
          <w:shd w:fill="auto" w:val="clear"/>
          <w:lang w:val="pl-PL"/>
        </w:rPr>
        <w:t>rozliczenie robót dodatkowych i zamiennych, o których mowa w pkt 1–6, następuje w oparciu o czynniki cenotwórcze przedstawione w kosztorysie ofertowym Wykonawcy lub w szczegółowej kalkulacji. W przypadku braku w kosztorysie ofertowym lub kalkulacji cen materiałów lub urządzeń za prawidłowe przyjmuje się średnie ceny z ostatniego opublikowanego cennika Sekocenbud dla województwa, na którego terenie realizowany jest przedmiot zamówienia, lub udokumentowaną najniższą cenę spośród trzech porównywalnych cen z hurtowni oferujących takie materiały, z zastrzeżeniem, że jeżeli przyjmowane ceny materiałów i urządzeń z kosztorysu ofertowego nie odpowiadają cenom rynkowym na dzień opracowania kosztorysu na roboty dodatkowe, nową cenę materiałów ustala się tak jak dla materiałów, które nie występowały w kosztorysie.</w:t>
      </w:r>
    </w:p>
    <w:p>
      <w:pPr>
        <w:pStyle w:val="Normal"/>
        <w:numPr>
          <w:ilvl w:val="0"/>
          <w:numId w:val="11"/>
        </w:numPr>
        <w:tabs>
          <w:tab w:val="clear" w:pos="720"/>
          <w:tab w:val="left" w:pos="284" w:leader="none"/>
        </w:tabs>
        <w:spacing w:lineRule="auto" w:line="252" w:before="0" w:after="80"/>
        <w:ind w:hanging="720" w:start="720"/>
        <w:rPr>
          <w:color w:val="auto"/>
          <w:highlight w:val="none"/>
          <w:shd w:fill="auto" w:val="clear"/>
        </w:rPr>
      </w:pPr>
      <w:r>
        <w:rPr>
          <w:color w:val="000000"/>
          <w:szCs w:val="20"/>
          <w:shd w:fill="auto" w:val="clear"/>
          <w:lang w:val="pl-PL"/>
        </w:rPr>
        <w:t>Zamawiającemu przysługuje prawo zmniejszenia wynagrodzenia w przypadku:</w:t>
      </w:r>
    </w:p>
    <w:p>
      <w:pPr>
        <w:pStyle w:val="Normal"/>
        <w:numPr>
          <w:ilvl w:val="0"/>
          <w:numId w:val="16"/>
        </w:numPr>
        <w:tabs>
          <w:tab w:val="clear" w:pos="720"/>
          <w:tab w:val="left" w:pos="1134" w:leader="none"/>
        </w:tabs>
        <w:spacing w:lineRule="auto" w:line="252" w:before="0" w:after="80"/>
        <w:ind w:hanging="349" w:start="709"/>
        <w:rPr>
          <w:color w:val="auto"/>
          <w:highlight w:val="none"/>
          <w:shd w:fill="auto" w:val="clear"/>
        </w:rPr>
      </w:pPr>
      <w:r>
        <w:rPr>
          <w:color w:val="000000"/>
          <w:szCs w:val="20"/>
          <w:shd w:fill="auto" w:val="clear"/>
          <w:lang w:val="pl-PL"/>
        </w:rPr>
        <w:t>rezygnacji z części zakresu robót do wykonania, nie więcej jednak niż o 30%;</w:t>
      </w:r>
    </w:p>
    <w:p>
      <w:pPr>
        <w:pStyle w:val="Normal"/>
        <w:numPr>
          <w:ilvl w:val="0"/>
          <w:numId w:val="16"/>
        </w:numPr>
        <w:tabs>
          <w:tab w:val="clear" w:pos="720"/>
          <w:tab w:val="left" w:pos="1134" w:leader="none"/>
        </w:tabs>
        <w:spacing w:lineRule="auto" w:line="252" w:before="0" w:after="80"/>
        <w:ind w:hanging="349" w:start="709"/>
        <w:rPr>
          <w:color w:val="auto"/>
          <w:highlight w:val="none"/>
          <w:shd w:fill="auto" w:val="clear"/>
        </w:rPr>
      </w:pPr>
      <w:r>
        <w:rPr>
          <w:color w:val="000000"/>
          <w:szCs w:val="20"/>
          <w:shd w:fill="auto" w:val="clear"/>
          <w:lang w:val="pl-PL"/>
        </w:rPr>
        <w:t>braku konieczności wykonania robót wynikłych z błędów stwierdzonych w OPZ;</w:t>
      </w:r>
    </w:p>
    <w:p>
      <w:pPr>
        <w:pStyle w:val="Normal"/>
        <w:numPr>
          <w:ilvl w:val="0"/>
          <w:numId w:val="16"/>
        </w:numPr>
        <w:tabs>
          <w:tab w:val="clear" w:pos="720"/>
          <w:tab w:val="left" w:pos="1134" w:leader="none"/>
        </w:tabs>
        <w:spacing w:lineRule="auto" w:line="252" w:before="0" w:after="80"/>
        <w:ind w:hanging="349" w:start="709"/>
        <w:rPr>
          <w:color w:val="auto"/>
          <w:highlight w:val="none"/>
          <w:shd w:fill="auto" w:val="clear"/>
        </w:rPr>
      </w:pPr>
      <w:r>
        <w:rPr>
          <w:color w:val="000000"/>
          <w:szCs w:val="20"/>
          <w:shd w:fill="auto" w:val="clear"/>
          <w:lang w:val="pl-PL"/>
        </w:rPr>
        <w:t>modyfikacji przedmiotu zamówienia w związku z wystąpieniem robót dodatkowych lub powtarzających się  w zakresie robót zaniechanych;</w:t>
      </w:r>
    </w:p>
    <w:p>
      <w:pPr>
        <w:pStyle w:val="Normal"/>
        <w:numPr>
          <w:ilvl w:val="0"/>
          <w:numId w:val="16"/>
        </w:numPr>
        <w:tabs>
          <w:tab w:val="clear" w:pos="720"/>
          <w:tab w:val="left" w:pos="1134" w:leader="none"/>
        </w:tabs>
        <w:spacing w:lineRule="auto" w:line="252" w:before="0" w:after="80"/>
        <w:ind w:hanging="349" w:start="709"/>
        <w:rPr>
          <w:color w:val="auto"/>
          <w:highlight w:val="none"/>
          <w:shd w:fill="auto" w:val="clear"/>
        </w:rPr>
      </w:pPr>
      <w:r>
        <w:rPr>
          <w:color w:val="000000"/>
          <w:szCs w:val="20"/>
          <w:shd w:fill="auto" w:val="clear"/>
          <w:lang w:val="pl-PL"/>
        </w:rPr>
        <w:t>gdy wartość robót zamiennych będzie mniejsza od wartości robót podstawowych;</w:t>
      </w:r>
    </w:p>
    <w:p>
      <w:pPr>
        <w:pStyle w:val="Normal"/>
        <w:numPr>
          <w:ilvl w:val="0"/>
          <w:numId w:val="16"/>
        </w:numPr>
        <w:tabs>
          <w:tab w:val="clear" w:pos="720"/>
          <w:tab w:val="left" w:pos="1134" w:leader="none"/>
        </w:tabs>
        <w:spacing w:lineRule="auto" w:line="252" w:before="0" w:after="80"/>
        <w:ind w:hanging="349" w:start="709"/>
        <w:rPr>
          <w:color w:val="auto"/>
          <w:highlight w:val="none"/>
          <w:shd w:fill="auto" w:val="clear"/>
        </w:rPr>
      </w:pPr>
      <w:r>
        <w:rPr>
          <w:color w:val="000000"/>
          <w:szCs w:val="20"/>
          <w:shd w:fill="auto" w:val="clear"/>
          <w:lang w:val="pl-PL"/>
        </w:rPr>
        <w:t>zmniejszenia wynagrodzenia, o którym mowa w pkt 1–4, które następuje w oparciu o kalkulację zaoferowanej ceny.</w:t>
      </w:r>
    </w:p>
    <w:p>
      <w:pPr>
        <w:pStyle w:val="Normal"/>
        <w:numPr>
          <w:ilvl w:val="0"/>
          <w:numId w:val="12"/>
        </w:numPr>
        <w:spacing w:lineRule="auto" w:line="252" w:before="0" w:after="80"/>
        <w:ind w:hanging="284" w:start="284"/>
        <w:jc w:val="both"/>
        <w:rPr>
          <w:color w:val="auto"/>
          <w:highlight w:val="none"/>
          <w:shd w:fill="auto" w:val="clear"/>
        </w:rPr>
      </w:pPr>
      <w:r>
        <w:rPr>
          <w:color w:val="000000"/>
          <w:szCs w:val="20"/>
          <w:shd w:fill="auto" w:val="clear"/>
          <w:lang w:val="pl-PL"/>
        </w:rPr>
        <w:t>Zmiana terminu związanego z wykonaniem umowy, która uprawnia do zmiany harmonogramu finansowo-rzeczowego wymagającego akceptacji Zamawiającego, nastąpi w następujących okolicznościach:</w:t>
      </w:r>
    </w:p>
    <w:p>
      <w:pPr>
        <w:pStyle w:val="Normal"/>
        <w:numPr>
          <w:ilvl w:val="0"/>
          <w:numId w:val="17"/>
        </w:numPr>
        <w:spacing w:lineRule="auto" w:line="252" w:before="0" w:after="80"/>
        <w:jc w:val="both"/>
        <w:rPr>
          <w:color w:val="auto"/>
          <w:highlight w:val="none"/>
          <w:shd w:fill="auto" w:val="clear"/>
        </w:rPr>
      </w:pPr>
      <w:r>
        <w:rPr>
          <w:color w:val="000000"/>
          <w:szCs w:val="20"/>
          <w:shd w:fill="auto" w:val="clear"/>
          <w:lang w:val="pl-PL"/>
        </w:rPr>
        <w:t>zmiany terminu przewidzianego na wykonanie częściowego zakresu robót lub zakończenie przedmiotu umowy, tj. w przypadku:</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zmian spowodowanych warunkami atmosferycznymi, w szczególności warunkami odbiegającymi od typowych dla danej pory roku lub uniemożliwiającymi prowadzenie robót budowlanych z uwagi na uwarunkowania techniczne i technologiczne wynikające z norm opisanych w OPZ lub powszechnie obowiązujących przepisów;</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działania siły wyższej, np. klęsk żywiołowych, strajków generalnych lub lokalnych, epidemii oraz innych uwarunkowań niezależnych od Wykonawcy, w tym okoliczności dotyczących producenta materiałów dostarczającego główne materiały lub sprzęt, które wstrzymały produkcję, mających bezpośredni wpływ na terminowość wykonania robót;</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konieczności usunięcia błędów lub wprowadzenia zmian w OPZ — o czas niezbędny do ich usunięcia lub wprowadzenia;</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przestojów i opóźnień zawinionych przez Zamawiającego;</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wystąpienia okoliczności, których strony umowy nie były w stanie przewidzieć pomimo zachowania należytej staranności;</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wystąpienia wykopalisk archeologicznych lub niewypałów uniemożliwiających wykonanie dalszych robót;</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wydłużenia terminu o czas powstały w wyniku nie zawarcia umowy w pierwotnym terminie związania ofertą — o czas pierwotnie zakładany do wykonania przedmiotu zamówienia;</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konieczności zapewnienia czasu niezbędnego na wykonanie robót zamiennych lub dodatkowych;</w:t>
      </w:r>
    </w:p>
    <w:p>
      <w:pPr>
        <w:pStyle w:val="ListParagraph"/>
        <w:numPr>
          <w:ilvl w:val="1"/>
          <w:numId w:val="19"/>
        </w:numPr>
        <w:spacing w:lineRule="auto" w:line="252" w:before="0" w:after="80"/>
        <w:contextualSpacing/>
        <w:jc w:val="both"/>
        <w:rPr>
          <w:color w:val="auto"/>
          <w:highlight w:val="none"/>
          <w:shd w:fill="auto" w:val="clear"/>
        </w:rPr>
      </w:pPr>
      <w:r>
        <w:rPr>
          <w:color w:val="000000"/>
          <w:szCs w:val="20"/>
          <w:shd w:fill="auto" w:val="clear"/>
          <w:lang w:val="pl-PL"/>
        </w:rPr>
        <w:t>zmian będących następstwem działania organów administracji, w szczególności</w:t>
        <w:br/>
        <w:t>przekroczenia zakreślonych przez prawo terminów wydawania przez organy administracji decyzji, zezwoleń itp.,</w:t>
      </w:r>
    </w:p>
    <w:p>
      <w:pPr>
        <w:pStyle w:val="ListParagraph"/>
        <w:numPr>
          <w:ilvl w:val="1"/>
          <w:numId w:val="19"/>
        </w:numPr>
        <w:spacing w:lineRule="auto" w:line="252" w:before="0" w:after="80"/>
        <w:contextualSpacing/>
        <w:jc w:val="both"/>
        <w:rPr>
          <w:color w:val="auto"/>
          <w:highlight w:val="none"/>
          <w:shd w:fill="auto" w:val="clear"/>
        </w:rPr>
      </w:pPr>
      <w:r>
        <w:rPr>
          <w:color w:val="000000"/>
          <w:szCs w:val="20"/>
          <w:shd w:fill="auto" w:val="clear"/>
          <w:lang w:val="pl-PL"/>
        </w:rPr>
        <w:t>odmowy wydania przez organ administracji wymaganych decyzji, zezwoleń lub uzgodnień na skutek błędów w OPZ;</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skrócenia terminu realizacji zakresów częściowych oraz terminu końcowego;</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zmiany terminów cząstkowych bez zmiany terminu końcowego, za zgodą Zamawiającego, jeżeli nie stanowi to zmiany terminu końcowego;</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wydłużenia terminu związanego z wydłużeniem terminu odbioru końcowego ponad termin wskazany w umowie, w tym wydłużenia terminu na usunięcie wad i usterek stwierdzonych podczas odbioru końcowego;</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wydłużenia terminu realizacji przedmiotu zamówienia z uwagi na wstrzymanie dostaw uniemożliwiające wykonanie zamówienia w pierwotnym terminie z przyczyn niezawinionych przez Wykonawcę;</w:t>
      </w:r>
    </w:p>
    <w:p>
      <w:pPr>
        <w:pStyle w:val="ListParagraph"/>
        <w:numPr>
          <w:ilvl w:val="1"/>
          <w:numId w:val="18"/>
        </w:numPr>
        <w:spacing w:lineRule="auto" w:line="252" w:before="0" w:after="80"/>
        <w:ind w:hanging="425" w:start="1134"/>
        <w:contextualSpacing/>
        <w:jc w:val="both"/>
        <w:rPr>
          <w:color w:val="auto"/>
          <w:highlight w:val="none"/>
          <w:shd w:fill="auto" w:val="clear"/>
        </w:rPr>
      </w:pPr>
      <w:r>
        <w:rPr>
          <w:color w:val="000000"/>
          <w:szCs w:val="20"/>
          <w:shd w:fill="auto" w:val="clear"/>
          <w:lang w:val="pl-PL"/>
        </w:rPr>
        <w:t>wydłużenia terminu o czas wykraczający ponad terminy ustawowe wynikające z przepisów dotyczących wydawania decyzji administracyjnych lub zwłoki w wydawaniu innych dokumentów związanych z realizacją przedmiotu zamówienia przez jednostki państwowe.</w:t>
      </w:r>
    </w:p>
    <w:p>
      <w:pPr>
        <w:pStyle w:val="Normal"/>
        <w:numPr>
          <w:ilvl w:val="0"/>
          <w:numId w:val="13"/>
        </w:numPr>
        <w:spacing w:lineRule="auto" w:line="252" w:before="0" w:after="80"/>
        <w:jc w:val="both"/>
        <w:rPr>
          <w:color w:val="auto"/>
          <w:highlight w:val="none"/>
          <w:shd w:fill="auto" w:val="clear"/>
        </w:rPr>
      </w:pPr>
      <w:r>
        <w:rPr>
          <w:color w:val="000000"/>
          <w:szCs w:val="20"/>
          <w:shd w:fill="auto" w:val="clear"/>
          <w:lang w:val="pl-PL"/>
        </w:rPr>
        <w:t>Dopuszcza się wprowadzenie zmian materiałowych, tj. zmian materiałów i urządzeń przedstawionych w ofercie, pod warunkiem że:</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spowodują one obniżenie kosztów ponoszonych przez Zamawiającego na eksploatację i konserwację wykonanego przedmiotu umowy;</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wynikają z aktualizacji rozwiązań z uwagi na postęp technologiczny lub zmiany obowiązujących przepisów, w szczególności poprzez zastosowanie następcy zmienianego materiału lub urządzenia;</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dotyczą zmiany materiałów lub urządzeń na materiały lub urządzenia o parametrach tożsamych lub lepszych od przyjętych w ofercie, w przypadku wycofania lub niedostępności na rynku materiału lub urządzenia oferowanego;</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dotyczą zmiany materiałów lub urządzeń na materiały lub urządzenia o parametrach tożsamych lub lepszych od przyjętych w ofercie, po uzyskaniu pisemnej zgody Zamawiającego, pod warunkiem że zmiana ta nie powoduje zmiany ceny ofertowej.</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Dopuszcza się dokonanie zmiany kierownika budowy lub kierownika robót na osobę posiadającą kwalifikacje wymagane w Zaproszeniu oraz zmianę osób zatrudnionych na podstawie umowy o pracę.</w:t>
      </w:r>
    </w:p>
    <w:p>
      <w:pPr>
        <w:pStyle w:val="Normal"/>
        <w:numPr>
          <w:ilvl w:val="0"/>
          <w:numId w:val="20"/>
        </w:numPr>
        <w:spacing w:lineRule="auto" w:line="252" w:before="0" w:after="80"/>
        <w:jc w:val="both"/>
        <w:rPr>
          <w:color w:val="auto"/>
          <w:highlight w:val="none"/>
          <w:shd w:fill="auto" w:val="clear"/>
        </w:rPr>
      </w:pPr>
      <w:r>
        <w:rPr>
          <w:color w:val="000000"/>
          <w:szCs w:val="20"/>
          <w:shd w:fill="auto" w:val="clear"/>
          <w:lang w:val="pl-PL"/>
        </w:rPr>
        <w:t>Wszystkie powyższe postanowienia stanowią katalog zmian, poza zapisami ustawy Pzp, które przed wprowadzeniem do umowy wymagają zgodnej akceptacji stron umowy, z wyłączeniem postanowień określonych w ust. 2, gdzie podjęcie decyzji o zmniejszeniu wynagrodzenia nie wymaga akceptacji Wykonawcy.</w:t>
      </w:r>
    </w:p>
    <w:p>
      <w:pPr>
        <w:pStyle w:val="Normal"/>
        <w:numPr>
          <w:ilvl w:val="0"/>
          <w:numId w:val="14"/>
        </w:numPr>
        <w:spacing w:lineRule="auto" w:line="252" w:before="0" w:after="80"/>
        <w:jc w:val="both"/>
        <w:rPr>
          <w:color w:val="auto"/>
          <w:highlight w:val="none"/>
          <w:shd w:fill="auto" w:val="clear"/>
        </w:rPr>
      </w:pPr>
      <w:r>
        <w:rPr>
          <w:color w:val="000000"/>
          <w:szCs w:val="20"/>
          <w:shd w:fill="auto" w:val="clear"/>
          <w:lang w:val="pl-PL"/>
        </w:rPr>
        <w:t>Strony mogą stosować odpowiednio rozwiązania znane z art. 455 ustawy Prawo zamówień publicznych jako element własnej procedury kontraktowej, z zastrzeżeniem, że umowa nie jest zawarta w trybie ustawy Prawo zamówień publicznych.</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19. Poufność i informacje wrażliwe</w:t>
      </w:r>
    </w:p>
    <w:p>
      <w:pPr>
        <w:pStyle w:val="ListParagraph"/>
        <w:numPr>
          <w:ilvl w:val="0"/>
          <w:numId w:val="22"/>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Wykonawca zobowiązuje się zachować w poufności informacje techniczne, organizacyjne i inne informacje dotyczące obiektu, infrastruktury ochronnej, rozwiązań bezpieczeństwa, dokumentacji oraz danych Zamawiającego, których ujawnienie mogłoby naruszyć interes publiczny, bezpieczeństwo obiektu lub interes Zamawiającego.</w:t>
      </w:r>
    </w:p>
    <w:p>
      <w:pPr>
        <w:pStyle w:val="ListParagraph"/>
        <w:numPr>
          <w:ilvl w:val="0"/>
          <w:numId w:val="22"/>
        </w:numPr>
        <w:spacing w:lineRule="auto" w:line="252" w:before="0" w:after="80"/>
        <w:ind w:hanging="426" w:start="426"/>
        <w:contextualSpacing/>
        <w:jc w:val="both"/>
        <w:rPr>
          <w:color w:val="auto"/>
          <w:highlight w:val="none"/>
          <w:shd w:fill="auto" w:val="clear"/>
        </w:rPr>
      </w:pPr>
      <w:r>
        <w:rPr>
          <w:rFonts w:eastAsia="Arial"/>
          <w:color w:val="000000"/>
          <w:szCs w:val="20"/>
          <w:shd w:fill="auto" w:val="clear"/>
          <w:lang w:val="pl-PL"/>
        </w:rPr>
        <w:t>Obowiązek poufności obowiązuje w czasie trwania umowy oraz przez 5 lat po jej zakończeniu, chyba że przepisy prawa przewidują dłuższy okres albo informacje stały się publiczne w sposób zgodny z prawem.</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20. Komunikacja</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Korespondencja robocza może być prowadzona pocztą elektroniczną na adres Zamawiającego: starostwo@powiat.busko.pl oraz adres Wykonawcy: .................................................., chyba że umowa zastrzega formę pisemną. Oświadczenia o odstąpieniu, zmianie umowy, naliczeniu kar, żądaniu zapłaty z zabezpieczenia oraz inne oświadczenia o istotnym skutku prawnym wymagają formy pisemnej albo elektronicznej z kwalifikowanym podpisem elektronicznym, o ile przepisy dopuszczają taką formę.</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21. Rozstrzyganie sporów</w:t>
      </w:r>
    </w:p>
    <w:p>
      <w:pPr>
        <w:pStyle w:val="Normal"/>
        <w:spacing w:lineRule="auto" w:line="252" w:before="0" w:after="80"/>
        <w:jc w:val="both"/>
        <w:rPr>
          <w:color w:val="auto"/>
          <w:highlight w:val="none"/>
          <w:shd w:fill="auto" w:val="clear"/>
        </w:rPr>
      </w:pPr>
      <w:r>
        <w:rPr>
          <w:rFonts w:eastAsia="Arial"/>
          <w:color w:val="000000"/>
          <w:szCs w:val="20"/>
          <w:shd w:fill="auto" w:val="clear"/>
          <w:lang w:val="pl-PL"/>
        </w:rPr>
        <w:t>Strony zobowiązują się dążyć do polubownego rozwiązywania sporów. W sprawach, w których zawarcie ugody jest dopuszczalne, Strony mogą poddać spór mediacji. Sądem właściwym dla sporów wynikających z umowy jest sąd właściwy miejscowo dla siedziby Zamawiającego, o ile przepisy bezwzględnie obowiązujące nie stanowią inaczej.</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22. Postanowienia końcowe</w:t>
      </w:r>
    </w:p>
    <w:p>
      <w:pPr>
        <w:pStyle w:val="ListParagraph"/>
        <w:numPr>
          <w:ilvl w:val="0"/>
          <w:numId w:val="21"/>
        </w:numPr>
        <w:spacing w:lineRule="auto" w:line="252" w:before="0" w:after="80"/>
        <w:ind w:hanging="437" w:start="426"/>
        <w:contextualSpacing/>
        <w:jc w:val="both"/>
        <w:rPr>
          <w:color w:val="auto"/>
          <w:highlight w:val="none"/>
          <w:shd w:fill="auto" w:val="clear"/>
        </w:rPr>
      </w:pPr>
      <w:r>
        <w:rPr>
          <w:rFonts w:eastAsia="Arial"/>
          <w:color w:val="000000"/>
          <w:szCs w:val="20"/>
          <w:shd w:fill="auto" w:val="clear"/>
          <w:lang w:val="pl-PL"/>
        </w:rPr>
        <w:t>W sprawach nieuregulowanych umową stosuje się przepisy Kodeksu cywilnego, Prawa budowlanego, ustawy o ochronie ludności i obronie cywilnej oraz inne przepisy prawa powszechnie obowiązującego. Ustawa Prawo zamówień publicznych nie ma zastosowania do udzielenia zamówienia, z wyjątkiem odpowiedniego zastosowania wybranych rozwiązań wskazanych w Zaproszeniu i umowie jako elementów procedury lub postanowień kontraktowych Zamawiającego.</w:t>
      </w:r>
    </w:p>
    <w:p>
      <w:pPr>
        <w:pStyle w:val="ListParagraph"/>
        <w:numPr>
          <w:ilvl w:val="0"/>
          <w:numId w:val="21"/>
        </w:numPr>
        <w:spacing w:lineRule="auto" w:line="252" w:before="0" w:after="80"/>
        <w:ind w:hanging="437" w:start="426"/>
        <w:contextualSpacing/>
        <w:jc w:val="both"/>
        <w:rPr>
          <w:color w:val="auto"/>
          <w:highlight w:val="none"/>
          <w:shd w:fill="auto" w:val="clear"/>
        </w:rPr>
      </w:pPr>
      <w:r>
        <w:rPr>
          <w:rFonts w:eastAsia="Arial"/>
          <w:color w:val="000000"/>
          <w:szCs w:val="20"/>
          <w:shd w:fill="auto" w:val="clear"/>
          <w:lang w:val="pl-PL"/>
        </w:rPr>
        <w:t>Umowę sporządzono w trzech jednobrzmiących egzemplarzach, dwa dla Zamawiającego i jeden dla Wykonawcy, albo w postaci elektronicznej opatrzonej kwalifikowanymi podpisami elektronicznymi Stron.</w:t>
      </w:r>
    </w:p>
    <w:p>
      <w:pPr>
        <w:pStyle w:val="ListParagraph"/>
        <w:numPr>
          <w:ilvl w:val="0"/>
          <w:numId w:val="21"/>
        </w:numPr>
        <w:spacing w:lineRule="auto" w:line="252" w:before="0" w:after="80"/>
        <w:ind w:hanging="437" w:start="426"/>
        <w:contextualSpacing/>
        <w:jc w:val="both"/>
        <w:rPr>
          <w:color w:val="auto"/>
          <w:highlight w:val="none"/>
          <w:shd w:fill="auto" w:val="clear"/>
        </w:rPr>
      </w:pPr>
      <w:r>
        <w:rPr>
          <w:rFonts w:eastAsia="Arial"/>
          <w:color w:val="000000"/>
          <w:szCs w:val="20"/>
          <w:shd w:fill="auto" w:val="clear"/>
          <w:lang w:val="pl-PL"/>
        </w:rPr>
        <w:t>Integralną część umowy stanowią: Zaproszenie wraz z wyjaśnieniami, oferta Wykonawcy, OPZ wraz                     z programem inwestycji, harmonogram rzeczowo-finansowy, karta gwarancyjna, dokument zabezpieczenia należytego wykonania umowy oraz inne dokumenty wskazane w umowie.</w:t>
      </w:r>
    </w:p>
    <w:p>
      <w:pPr>
        <w:pStyle w:val="Normal"/>
        <w:spacing w:lineRule="auto" w:line="252" w:before="0" w:after="80"/>
        <w:rPr>
          <w:color w:val="auto"/>
          <w:highlight w:val="none"/>
          <w:shd w:fill="auto" w:val="clear"/>
        </w:rPr>
      </w:pPr>
      <w:r>
        <w:rPr>
          <w:color w:val="000000"/>
          <w:szCs w:val="20"/>
          <w:shd w:fill="auto" w:val="clear"/>
          <w:lang w:val="pl-PL"/>
        </w:rPr>
        <w:br/>
      </w:r>
      <w:r>
        <w:rPr>
          <w:rFonts w:eastAsia="Arial"/>
          <w:color w:val="000000"/>
          <w:szCs w:val="20"/>
          <w:shd w:fill="auto" w:val="clear"/>
          <w:lang w:val="pl-PL"/>
        </w:rPr>
        <w:t>ZAMAWIAJĄCY:</w:t>
        <w:tab/>
        <w:tab/>
        <w:tab/>
        <w:tab/>
        <w:tab/>
        <w:tab/>
        <w:tab/>
        <w:t xml:space="preserve">             WYKONAWCA:</w:t>
      </w:r>
    </w:p>
    <w:p>
      <w:pPr>
        <w:pStyle w:val="Normal"/>
        <w:spacing w:lineRule="auto" w:line="252" w:before="0" w:after="80"/>
        <w:rPr>
          <w:color w:val="auto"/>
          <w:highlight w:val="none"/>
          <w:shd w:fill="auto" w:val="clear"/>
        </w:rPr>
      </w:pPr>
      <w:r>
        <w:rPr>
          <w:rFonts w:eastAsia="Arial"/>
          <w:color w:val="000000"/>
          <w:szCs w:val="20"/>
          <w:shd w:fill="auto" w:val="clear"/>
          <w:lang w:val="pl-PL"/>
        </w:rPr>
        <w:t xml:space="preserve"> </w:t>
      </w:r>
      <w:r>
        <w:rPr>
          <w:rFonts w:eastAsia="Arial"/>
          <w:color w:val="000000"/>
          <w:szCs w:val="20"/>
          <w:shd w:fill="auto" w:val="clear"/>
          <w:lang w:val="pl-PL"/>
        </w:rPr>
        <w:t>.................................................                                                                  .................................................</w:t>
      </w:r>
      <w:r>
        <w:rPr>
          <w:color w:val="000000"/>
          <w:szCs w:val="20"/>
          <w:shd w:fill="auto" w:val="clear"/>
          <w:lang w:val="pl-PL"/>
        </w:rPr>
        <w:br/>
        <w:br/>
      </w:r>
      <w:r>
        <w:rPr>
          <w:rFonts w:eastAsia="Arial"/>
          <w:color w:val="000000"/>
          <w:szCs w:val="20"/>
          <w:shd w:fill="auto" w:val="clear"/>
          <w:lang w:val="pl-PL"/>
        </w:rPr>
        <w:t>Kontrasygnata Skarbnika:</w:t>
      </w:r>
    </w:p>
    <w:p>
      <w:pPr>
        <w:pStyle w:val="Normal"/>
        <w:spacing w:lineRule="auto" w:line="252" w:before="0" w:after="80"/>
        <w:rPr>
          <w:color w:val="auto"/>
          <w:highlight w:val="none"/>
          <w:shd w:fill="auto" w:val="clear"/>
        </w:rPr>
      </w:pPr>
      <w:r>
        <w:rPr>
          <w:rFonts w:eastAsia="Arial"/>
          <w:color w:val="000000"/>
          <w:szCs w:val="20"/>
          <w:shd w:fill="auto" w:val="clear"/>
          <w:lang w:val="pl-PL"/>
        </w:rPr>
        <w:t xml:space="preserve"> </w:t>
      </w:r>
      <w:r>
        <w:rPr>
          <w:rFonts w:eastAsia="Arial"/>
          <w:color w:val="000000"/>
          <w:szCs w:val="20"/>
          <w:shd w:fill="auto" w:val="clear"/>
          <w:lang w:val="pl-PL"/>
        </w:rPr>
        <w:t>.................................................</w:t>
      </w:r>
    </w:p>
    <w:p>
      <w:pPr>
        <w:pStyle w:val="Normal"/>
        <w:rPr>
          <w:color w:val="auto"/>
          <w:szCs w:val="20"/>
          <w:highlight w:val="none"/>
          <w:shd w:fill="auto" w:val="clear"/>
          <w:lang w:val="pl-PL"/>
        </w:rPr>
      </w:pPr>
      <w:r>
        <w:rPr>
          <w:color w:val="000000"/>
          <w:szCs w:val="20"/>
          <w:shd w:fill="auto" w:val="clear"/>
          <w:lang w:val="pl-PL"/>
        </w:rPr>
      </w:r>
      <w:r>
        <w:br w:type="page"/>
      </w:r>
    </w:p>
    <w:p>
      <w:pPr>
        <w:pStyle w:val="Normal"/>
        <w:spacing w:lineRule="auto" w:line="252" w:before="0" w:after="80"/>
        <w:jc w:val="center"/>
        <w:rPr>
          <w:color w:val="auto"/>
          <w:highlight w:val="none"/>
          <w:shd w:fill="auto" w:val="clear"/>
        </w:rPr>
      </w:pPr>
      <w:r>
        <w:rPr>
          <w:rFonts w:eastAsia="Arial"/>
          <w:b/>
          <w:color w:val="000000"/>
          <w:szCs w:val="20"/>
          <w:shd w:fill="auto" w:val="clear"/>
          <w:lang w:val="pl-PL"/>
        </w:rPr>
        <w:t>KARTA GWARANCYJNA</w:t>
      </w:r>
    </w:p>
    <w:p>
      <w:pPr>
        <w:pStyle w:val="Normal"/>
        <w:spacing w:lineRule="auto" w:line="252" w:before="0" w:after="80"/>
        <w:jc w:val="center"/>
        <w:rPr>
          <w:color w:val="auto"/>
          <w:highlight w:val="none"/>
          <w:shd w:fill="auto" w:val="clear"/>
        </w:rPr>
      </w:pPr>
      <w:r>
        <w:rPr>
          <w:rFonts w:eastAsia="Arial"/>
          <w:b/>
          <w:color w:val="000000"/>
          <w:szCs w:val="20"/>
          <w:shd w:fill="auto" w:val="clear"/>
          <w:lang w:val="pl-PL"/>
        </w:rPr>
        <w:t>dla zadania pn. „</w:t>
      </w:r>
      <w:r>
        <w:rPr>
          <w:rFonts w:eastAsia="Arial" w:cs="Times New Roman"/>
          <w:b/>
          <w:bCs/>
          <w:color w:val="000000"/>
          <w:szCs w:val="20"/>
          <w:shd w:fill="auto" w:val="clear"/>
          <w:lang w:val="pl-PL"/>
        </w:rPr>
        <w:t xml:space="preserve">Budowa budowli ochronnej o kategorii U-1 pod salą gimnastyczną na działkach nr 121/1, 121/5, 121/6, 122/1 i 122/6 przy Al. Mickiewicza 23 w Busku-Zdroju </w:t>
      </w:r>
      <w:r>
        <w:rPr>
          <w:rFonts w:eastAsia="Arial"/>
          <w:b/>
          <w:color w:val="000000"/>
          <w:szCs w:val="20"/>
          <w:shd w:fill="auto" w:val="clear"/>
          <w:lang w:val="pl-PL"/>
        </w:rPr>
        <w:t>”</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1. Przedmiot i okres gwarancji</w:t>
      </w:r>
    </w:p>
    <w:p>
      <w:pPr>
        <w:pStyle w:val="Normal"/>
        <w:spacing w:lineRule="auto" w:line="252" w:before="0" w:after="80"/>
        <w:rPr>
          <w:color w:val="auto"/>
          <w:highlight w:val="none"/>
          <w:shd w:fill="auto" w:val="clear"/>
        </w:rPr>
      </w:pPr>
      <w:r>
        <w:rPr>
          <w:rFonts w:eastAsia="Arial"/>
          <w:color w:val="000000"/>
          <w:szCs w:val="20"/>
          <w:shd w:fill="auto" w:val="clear"/>
          <w:lang w:val="pl-PL"/>
        </w:rPr>
        <w:t>Gwarantem jest Wykonawca. Gwarancja obejmuje cały przedmiot umowy, w tym roboty, materiały, urządzenia, instalacje, dokumentację i części wykonane przez podwykonawców. Okres gwarancji wynosi .......... miesięcy, zgodnie z ofertą Wykonawcy, i biegnie od dnia odbioru końcowego.</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2. Usuwanie wad</w:t>
      </w:r>
    </w:p>
    <w:p>
      <w:pPr>
        <w:pStyle w:val="Normal"/>
        <w:spacing w:lineRule="auto" w:line="252" w:before="0" w:after="80"/>
        <w:rPr>
          <w:color w:val="auto"/>
          <w:highlight w:val="none"/>
          <w:shd w:fill="auto" w:val="clear"/>
        </w:rPr>
      </w:pPr>
      <w:r>
        <w:rPr>
          <w:rFonts w:eastAsia="Arial"/>
          <w:color w:val="000000"/>
          <w:szCs w:val="20"/>
          <w:shd w:fill="auto" w:val="clear"/>
          <w:lang w:val="pl-PL"/>
        </w:rPr>
        <w:t>Wykonawca usuwa wady nieodpłatnie, własnym staraniem i na własny koszt. Czas reakcji wynosi 3 dni robocze od zgłoszenia, a termin usunięcia wady 14 dni roboczych, chyba że Zamawiający zaakceptuje dłuższy termin uzasadniony technologią naprawy.</w:t>
      </w:r>
    </w:p>
    <w:p>
      <w:pPr>
        <w:pStyle w:val="Normal"/>
        <w:spacing w:lineRule="auto" w:line="252" w:before="0" w:after="80"/>
        <w:rPr>
          <w:color w:val="auto"/>
          <w:highlight w:val="none"/>
          <w:shd w:fill="auto" w:val="clear"/>
        </w:rPr>
      </w:pPr>
      <w:r>
        <w:rPr>
          <w:rFonts w:eastAsia="Arial"/>
          <w:color w:val="000000"/>
          <w:szCs w:val="20"/>
          <w:shd w:fill="auto" w:val="clear"/>
          <w:lang w:val="pl-PL"/>
        </w:rPr>
        <w:t>Jeżeli Wykonawca nie usunie wady w terminie, Zamawiający może usunąć wadę zastępczo na koszt i ryzyko Wykonawcy, bez utraty uprawnień z gwarancji, rękojmi i kar umownych.</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3. Przeglądy gwarancyjne</w:t>
      </w:r>
    </w:p>
    <w:p>
      <w:pPr>
        <w:pStyle w:val="Normal"/>
        <w:spacing w:lineRule="auto" w:line="252" w:before="0" w:after="80"/>
        <w:rPr>
          <w:color w:val="auto"/>
          <w:highlight w:val="none"/>
          <w:shd w:fill="auto" w:val="clear"/>
        </w:rPr>
      </w:pPr>
      <w:r>
        <w:rPr>
          <w:rFonts w:eastAsia="Arial"/>
          <w:color w:val="000000"/>
          <w:szCs w:val="20"/>
          <w:shd w:fill="auto" w:val="clear"/>
          <w:lang w:val="pl-PL"/>
        </w:rPr>
        <w:t>Zamawiający może przeprowadzać przeglądy gwarancyjne w terminach przez siebie wyznaczonych, w szczególności w połowie okresu gwarancji oraz przed jego upływem. Niestawiennictwo prawidłowo zawiadomionego Wykonawcy nie wstrzymuje przeglądu.</w:t>
      </w:r>
    </w:p>
    <w:p>
      <w:pPr>
        <w:pStyle w:val="Heading1"/>
        <w:spacing w:before="200" w:after="100"/>
        <w:jc w:val="center"/>
        <w:rPr>
          <w:color w:val="auto"/>
          <w:highlight w:val="none"/>
          <w:shd w:fill="auto" w:val="clear"/>
        </w:rPr>
      </w:pPr>
      <w:r>
        <w:rPr>
          <w:rFonts w:eastAsia="Arial" w:ascii="Arial" w:hAnsi="Arial"/>
          <w:color w:val="000000"/>
          <w:sz w:val="20"/>
          <w:szCs w:val="20"/>
          <w:shd w:fill="auto" w:val="clear"/>
          <w:lang w:val="pl-PL"/>
        </w:rPr>
        <w:t>§ 4. Postanowienia końcowe karty gwarancyjnej</w:t>
      </w:r>
    </w:p>
    <w:p>
      <w:pPr>
        <w:pStyle w:val="Normal"/>
        <w:spacing w:lineRule="auto" w:line="252" w:before="0" w:after="80"/>
        <w:rPr>
          <w:color w:val="auto"/>
          <w:highlight w:val="none"/>
          <w:shd w:fill="auto" w:val="clear"/>
        </w:rPr>
      </w:pPr>
      <w:r>
        <w:rPr>
          <w:rFonts w:eastAsia="Arial"/>
          <w:color w:val="000000"/>
          <w:szCs w:val="20"/>
          <w:shd w:fill="auto" w:val="clear"/>
          <w:lang w:val="pl-PL"/>
        </w:rPr>
        <w:t>Uprawnienia z gwarancji nie wyłączają, nie ograniczają ani nie zawieszają uprawnień Zamawiającego z tytułu rękojmi, kar umownych i odszkodowania. Warunki gwarancji podpisali:</w:t>
      </w:r>
    </w:p>
    <w:p>
      <w:pPr>
        <w:pStyle w:val="Normal"/>
        <w:spacing w:lineRule="auto" w:line="252" w:before="0" w:after="80"/>
        <w:rPr>
          <w:color w:val="auto"/>
          <w:highlight w:val="none"/>
          <w:shd w:fill="auto" w:val="clear"/>
        </w:rPr>
      </w:pPr>
      <w:r>
        <w:rPr>
          <w:color w:val="000000"/>
          <w:szCs w:val="20"/>
          <w:shd w:fill="auto" w:val="clear"/>
          <w:lang w:val="pl-PL"/>
        </w:rPr>
        <w:br/>
      </w:r>
      <w:r>
        <w:rPr>
          <w:rFonts w:eastAsia="Arial"/>
          <w:color w:val="000000"/>
          <w:szCs w:val="20"/>
          <w:shd w:fill="auto" w:val="clear"/>
          <w:lang w:val="pl-PL"/>
        </w:rPr>
        <w:t>GWARANT/WYKONAWCA: .................................................        ZAMAWIAJĄCY: .................................................</w:t>
      </w:r>
    </w:p>
    <w:sectPr>
      <w:headerReference w:type="even" r:id="rId3"/>
      <w:headerReference w:type="default" r:id="rId4"/>
      <w:headerReference w:type="first" r:id="rId5"/>
      <w:type w:val="nextPage"/>
      <w:pgSz w:w="12240" w:h="15840"/>
      <w:pgMar w:left="1134" w:right="1020" w:gutter="0" w:header="720" w:top="1020" w:footer="0"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mbria">
    <w:charset w:val="ee" w:characterSet="windows-1250"/>
    <w:family w:val="roman"/>
    <w:pitch w:val="variable"/>
  </w:font>
  <w:font w:name="Arial">
    <w:charset w:val="ee" w:characterSet="windows-1250"/>
    <w:family w:val="swiss"/>
    <w:pitch w:val="variable"/>
  </w:font>
  <w:font w:name="Calibri">
    <w:charset w:val="ee" w:characterSet="windows-1250"/>
    <w:family w:val="swiss"/>
    <w:pitch w:val="variable"/>
  </w:font>
  <w:font w:name="Calibri">
    <w:charset w:val="ee" w:characterSet="windows-1250"/>
    <w:family w:val="roman"/>
    <w:pitch w:val="variable"/>
  </w:font>
  <w:font w:name="Courier">
    <w:altName w:val="Courier New"/>
    <w:charset w:val="ee" w:characterSet="windows-1250"/>
    <w:family w:val="roman"/>
    <w:pitch w:val="variable"/>
  </w:font>
  <w:font w:name="Liberation Sans">
    <w:altName w:val="Arial"/>
    <w:charset w:val="ee" w:characterSet="windows-125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lang w:val="pl-PL"/>
      </w:rPr>
    </w:pPr>
    <w:r>
      <w:rPr>
        <w:rFonts w:eastAsia="Arial"/>
        <w:sz w:val="16"/>
        <w:lang w:val="pl-PL"/>
      </w:rPr>
      <w:t>Numer referencyjny: ZP.272.8.2026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lang w:val="pl-PL"/>
      </w:rPr>
    </w:pPr>
    <w:r>
      <w:rPr>
        <w:rFonts w:eastAsia="Arial"/>
        <w:sz w:val="16"/>
        <w:lang w:val="pl-PL"/>
      </w:rPr>
      <w:t>Numer referencyjny: ZP.272.8.2026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0">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1">
    <w:lvl w:ilvl="0">
      <w:start w:val="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2">
    <w:lvl w:ilvl="0">
      <w:start w:val="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3">
    <w:lvl w:ilvl="0">
      <w:start w:val="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4">
    <w:lvl w:ilvl="0">
      <w:start w:val="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5">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6">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7">
    <w:lvl w:ilvl="0">
      <w:start w:val="1"/>
      <w:numFmt w:val="decimal"/>
      <w:lvlText w:val="%1)"/>
      <w:lvlJc w:val="start"/>
      <w:pPr>
        <w:tabs>
          <w:tab w:val="num" w:pos="720"/>
        </w:tabs>
        <w:ind w:start="720" w:hanging="360"/>
      </w:pPr>
      <w:rPr/>
    </w:lvl>
    <w:lvl w:ilvl="1">
      <w:start w:val="1"/>
      <w:numFmt w:val="lowerLetter"/>
      <w:lvlText w:val="%2)"/>
      <w:lvlJc w:val="start"/>
      <w:pPr>
        <w:tabs>
          <w:tab w:val="num" w:pos="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lowerLetter"/>
      <w:lvlText w:val="%1)"/>
      <w:lvlJc w:val="start"/>
      <w:pPr>
        <w:tabs>
          <w:tab w:val="num" w:pos="0"/>
        </w:tabs>
        <w:ind w:start="720" w:hanging="360"/>
      </w:pPr>
      <w:rPr/>
    </w:lvl>
    <w:lvl w:ilvl="1">
      <w:start w:val="1"/>
      <w:numFmt w:val="bullet"/>
      <w:lvlText w:val=""/>
      <w:lvlJc w:val="start"/>
      <w:pPr>
        <w:tabs>
          <w:tab w:val="num" w:pos="0"/>
        </w:tabs>
        <w:ind w:start="1440" w:hanging="360"/>
      </w:pPr>
      <w:rPr>
        <w:rFonts w:ascii="Symbol" w:hAnsi="Symbol" w:cs="Symbol" w:hint="default"/>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92"/>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ne-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c693f"/>
    <w:pPr>
      <w:widowControl/>
      <w:suppressAutoHyphens w:val="true"/>
      <w:bidi w:val="0"/>
      <w:spacing w:lineRule="auto" w:line="276" w:before="0" w:after="200"/>
      <w:jc w:val="start"/>
    </w:pPr>
    <w:rPr>
      <w:rFonts w:ascii="Arial" w:hAnsi="Arial" w:eastAsia="" w:cs="" w:cstheme="minorBidi" w:eastAsiaTheme="minorEastAsia"/>
      <w:color w:val="auto"/>
      <w:kern w:val="0"/>
      <w:sz w:val="20"/>
      <w:szCs w:val="22"/>
      <w:lang w:val="en-US" w:eastAsia="en-US" w:bidi="ar-SA"/>
    </w:rPr>
  </w:style>
  <w:style w:type="paragraph" w:styleId="Heading1">
    <w:name w:val="heading 1"/>
    <w:basedOn w:val="Normal"/>
    <w:next w:val="Normal"/>
    <w:link w:val="Nagwek1Znak"/>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4"/>
      <w:szCs w:val="28"/>
    </w:rPr>
  </w:style>
  <w:style w:type="paragraph" w:styleId="Heading2">
    <w:name w:val="heading 2"/>
    <w:basedOn w:val="Normal"/>
    <w:next w:val="Normal"/>
    <w:link w:val="Nagwek2Znak"/>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2"/>
      <w:szCs w:val="26"/>
    </w:rPr>
  </w:style>
  <w:style w:type="paragraph" w:styleId="Heading3">
    <w:name w:val="heading 3"/>
    <w:basedOn w:val="Normal"/>
    <w:next w:val="Normal"/>
    <w:link w:val="Nagwek3Znak"/>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sz w:val="22"/>
    </w:rPr>
  </w:style>
  <w:style w:type="paragraph" w:styleId="Heading4">
    <w:name w:val="heading 4"/>
    <w:basedOn w:val="Normal"/>
    <w:next w:val="Normal"/>
    <w:link w:val="Nagwek4Znak"/>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Nagwek5Znak"/>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Nagwek6Znak"/>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Nagwek7Znak"/>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Nagwek8Znak"/>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Cs w:val="20"/>
    </w:rPr>
  </w:style>
  <w:style w:type="paragraph" w:styleId="Heading9">
    <w:name w:val="heading 9"/>
    <w:basedOn w:val="Normal"/>
    <w:next w:val="Normal"/>
    <w:link w:val="Nagwek9Znak"/>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e618bf"/>
    <w:rPr/>
  </w:style>
  <w:style w:type="character" w:styleId="StopkaZnak" w:customStyle="1">
    <w:name w:val="Stopka Znak"/>
    <w:basedOn w:val="DefaultParagraphFont"/>
    <w:uiPriority w:val="99"/>
    <w:qFormat/>
    <w:rsid w:val="00e618bf"/>
    <w:rPr/>
  </w:style>
  <w:style w:type="character" w:styleId="Nagwek1Znak" w:customStyle="1">
    <w:name w:val="Nagłówek 1 Znak"/>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Nagwek2Znak" w:customStyle="1">
    <w:name w:val="Nagłówek 2 Znak"/>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Nagwek3Znak" w:customStyle="1">
    <w:name w:val="Nagłówek 3 Znak"/>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ytuZnak" w:customStyle="1">
    <w:name w:val="Tytuł Znak"/>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PodtytuZnak" w:customStyle="1">
    <w:name w:val="Podtytuł Znak"/>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TekstpodstawowyZnak" w:customStyle="1">
    <w:name w:val="Tekst podstawowy Znak"/>
    <w:basedOn w:val="DefaultParagraphFont"/>
    <w:uiPriority w:val="99"/>
    <w:qFormat/>
    <w:rsid w:val="00aa1d8d"/>
    <w:rPr/>
  </w:style>
  <w:style w:type="character" w:styleId="Tekstpodstawowy2Znak" w:customStyle="1">
    <w:name w:val="Tekst podstawowy 2 Znak"/>
    <w:basedOn w:val="DefaultParagraphFont"/>
    <w:link w:val="BodyText2"/>
    <w:uiPriority w:val="99"/>
    <w:qFormat/>
    <w:rsid w:val="00aa1d8d"/>
    <w:rPr/>
  </w:style>
  <w:style w:type="character" w:styleId="Tekstpodstawowy3Znak" w:customStyle="1">
    <w:name w:val="Tekst podstawowy 3 Znak"/>
    <w:basedOn w:val="DefaultParagraphFont"/>
    <w:link w:val="BodyText3"/>
    <w:uiPriority w:val="99"/>
    <w:qFormat/>
    <w:rsid w:val="00aa1d8d"/>
    <w:rPr>
      <w:sz w:val="16"/>
      <w:szCs w:val="16"/>
    </w:rPr>
  </w:style>
  <w:style w:type="character" w:styleId="TekstmakraZnak" w:customStyle="1">
    <w:name w:val="Tekst makra Znak"/>
    <w:basedOn w:val="DefaultParagraphFont"/>
    <w:link w:val="MacroText"/>
    <w:uiPriority w:val="99"/>
    <w:qFormat/>
    <w:rsid w:val="0029639d"/>
    <w:rPr>
      <w:rFonts w:ascii="Courier" w:hAnsi="Courier"/>
      <w:sz w:val="20"/>
      <w:szCs w:val="20"/>
    </w:rPr>
  </w:style>
  <w:style w:type="character" w:styleId="CytatZnak" w:customStyle="1">
    <w:name w:val="Cytat Znak"/>
    <w:basedOn w:val="DefaultParagraphFont"/>
    <w:link w:val="Quote"/>
    <w:uiPriority w:val="29"/>
    <w:qFormat/>
    <w:rsid w:val="00fc693f"/>
    <w:rPr>
      <w:i/>
      <w:iCs/>
      <w:color w:themeColor="text1" w:val="000000"/>
    </w:rPr>
  </w:style>
  <w:style w:type="character" w:styleId="Nagwek4Znak" w:customStyle="1">
    <w:name w:val="Nagłówek 4 Znak"/>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Nagwek5Znak" w:customStyle="1">
    <w:name w:val="Nagłówek 5 Znak"/>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Nagwek6Znak" w:customStyle="1">
    <w:name w:val="Nagłówek 6 Znak"/>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Nagwek7Znak" w:customStyle="1">
    <w:name w:val="Nagłówek 7 Znak"/>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Nagwek8Znak" w:customStyle="1">
    <w:name w:val="Nagłówek 8 Znak"/>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Nagwek9Znak" w:customStyle="1">
    <w:name w:val="Nagłówek 9 Znak"/>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ytatintensywnyZnak" w:customStyle="1">
    <w:name w:val="Cytat intensywny Znak"/>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Znakinumeracjiuser" w:customStyle="1">
    <w:name w:val="Znaki numeracji (user)"/>
    <w:qFormat/>
    <w:rPr/>
  </w:style>
  <w:style w:type="paragraph" w:styleId="Nagwek" w:customStyle="1">
    <w:name w:val="Nagłówe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TekstpodstawowyZnak"/>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ks" w:customStyle="1">
    <w:name w:val="Indeks"/>
    <w:basedOn w:val="Normal"/>
    <w:qFormat/>
    <w:pPr>
      <w:suppressLineNumbers/>
    </w:pPr>
    <w:rPr>
      <w:rFonts w:cs="Arial Unicode M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e618bf"/>
    <w:pPr>
      <w:tabs>
        <w:tab w:val="clear" w:pos="720"/>
        <w:tab w:val="center" w:pos="4680" w:leader="none"/>
        <w:tab w:val="right" w:pos="9360" w:leader="none"/>
      </w:tabs>
      <w:spacing w:lineRule="auto" w:line="240" w:before="0" w:after="0"/>
    </w:pPr>
    <w:rPr/>
  </w:style>
  <w:style w:type="paragraph" w:styleId="Indeksuser" w:customStyle="1">
    <w:name w:val="Indeks (user)"/>
    <w:basedOn w:val="Normal"/>
    <w:qFormat/>
    <w:pPr>
      <w:suppressLineNumbers/>
    </w:pPr>
    <w:rPr>
      <w:rFonts w:cs="Arial Unicode MS"/>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ytuZnak"/>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PodtytuZnak"/>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Tekstpodstawowy2Znak"/>
    <w:uiPriority w:val="99"/>
    <w:unhideWhenUsed/>
    <w:qFormat/>
    <w:rsid w:val="00aa1d8d"/>
    <w:pPr>
      <w:spacing w:lineRule="auto" w:line="480" w:before="0" w:after="120"/>
    </w:pPr>
    <w:rPr/>
  </w:style>
  <w:style w:type="paragraph" w:styleId="BodyText3">
    <w:name w:val="Body Text 3"/>
    <w:basedOn w:val="Normal"/>
    <w:link w:val="Tekstpodstawowy3Znak"/>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TekstmakraZnak"/>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CytatZnak"/>
    <w:uiPriority w:val="29"/>
    <w:qFormat/>
    <w:rsid w:val="00fc693f"/>
    <w:pPr/>
    <w:rPr>
      <w:i/>
      <w:iCs/>
      <w:color w:themeColor="text1" w:val="000000"/>
    </w:rPr>
  </w:style>
  <w:style w:type="paragraph" w:styleId="IntenseQuote">
    <w:name w:val="Intense Quote"/>
    <w:basedOn w:val="Normal"/>
    <w:next w:val="Normal"/>
    <w:link w:val="CytatintensywnyZnak"/>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Nagwek"/>
    <w:pPr/>
    <w:rPr/>
  </w:style>
  <w:style w:type="paragraph" w:styleId="TOCHeading">
    <w:name w:val="TOC Heading"/>
    <w:basedOn w:val="Heading1"/>
    <w:next w:val="Normal"/>
    <w:uiPriority w:val="39"/>
    <w:semiHidden/>
    <w:unhideWhenUsed/>
    <w:qFormat/>
    <w:rsid w:val="00fc693f"/>
    <w:pPr>
      <w:outlineLvl w:val="9"/>
    </w:pPr>
    <w:rPr/>
  </w:style>
  <w:style w:type="numbering" w:styleId="Bezlisty" w:customStyle="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fc69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Jasnecieniowanie">
    <w:name w:val="Light Shading"/>
    <w:basedOn w:val="Standardowy"/>
    <w:uiPriority w:val="60"/>
    <w:rsid w:val="00fc693f"/>
    <w:rPr>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rPr>
      <w:color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rPr>
      <w:color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rPr>
      <w:color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rPr>
      <w:color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rPr>
      <w:color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rPr>
      <w:color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Jasnalistaakcent1">
    <w:name w:val="Light List Accent 1"/>
    <w:basedOn w:val="Standardowy"/>
    <w:uiPriority w:val="61"/>
    <w:rsid w:val="00fc693f"/>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Jasnalistaakcent2">
    <w:name w:val="Light List Accent 2"/>
    <w:basedOn w:val="Standardowy"/>
    <w:uiPriority w:val="61"/>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Jasnalistaakcent3">
    <w:name w:val="Light List Accent 3"/>
    <w:basedOn w:val="Standardowy"/>
    <w:uiPriority w:val="61"/>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Jasnalistaakcent4">
    <w:name w:val="Light List Accent 4"/>
    <w:basedOn w:val="Standardowy"/>
    <w:uiPriority w:val="61"/>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Jasnalistaakcent5">
    <w:name w:val="Light List Accent 5"/>
    <w:basedOn w:val="Standardowy"/>
    <w:uiPriority w:val="61"/>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Jasnalistaakcent6">
    <w:name w:val="Light List Accent 6"/>
    <w:basedOn w:val="Standardowy"/>
    <w:uiPriority w:val="61"/>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Jasnasiatka">
    <w:name w:val="Light Grid"/>
    <w:basedOn w:val="Standardowy"/>
    <w:uiPriority w:val="62"/>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Jasnasiatkaakcent1">
    <w:name w:val="Light Grid Accent 1"/>
    <w:basedOn w:val="Standardowy"/>
    <w:uiPriority w:val="62"/>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Jasnasiatkaakcent2">
    <w:name w:val="Light Grid Accent 2"/>
    <w:basedOn w:val="Standardowy"/>
    <w:uiPriority w:val="62"/>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Jasnasiatkaakcent3">
    <w:name w:val="Light Grid Accent 3"/>
    <w:basedOn w:val="Standardowy"/>
    <w:uiPriority w:val="62"/>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Jasnasiatkaakcent4">
    <w:name w:val="Light Grid Accent 4"/>
    <w:basedOn w:val="Standardowy"/>
    <w:uiPriority w:val="62"/>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Jasnasiatkaakcent5">
    <w:name w:val="Light Grid Accent 5"/>
    <w:basedOn w:val="Standardowy"/>
    <w:uiPriority w:val="62"/>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Jasnasiatkaakcent6">
    <w:name w:val="Light Grid Accent 6"/>
    <w:basedOn w:val="Standardowy"/>
    <w:uiPriority w:val="62"/>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redniecieniowanie1">
    <w:name w:val="Medium Shading 1"/>
    <w:basedOn w:val="Standardowy"/>
    <w:uiPriority w:val="63"/>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1">
    <w:name w:val="Medium Shading 2 Accent 1"/>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2">
    <w:name w:val="Medium Shading 2 Accent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3">
    <w:name w:val="Medium Shading 2 Accent 3"/>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4">
    <w:name w:val="Medium Shading 2 Accent 4"/>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5">
    <w:name w:val="Medium Shading 2 Accent 5"/>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6">
    <w:name w:val="Medium Shading 2 Accent 6"/>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alista1">
    <w:name w:val="Medium List 1"/>
    <w:basedOn w:val="Standardowy"/>
    <w:uiPriority w:val="65"/>
    <w:rsid w:val="00cb0664"/>
    <w:rPr>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rPr>
      <w:color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rPr>
      <w:color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rPr>
      <w:color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rPr>
      <w:color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rPr>
      <w:color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rPr>
      <w:color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4F81B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0504D"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9BBB59"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8064A2"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4BACC6"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79646"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redniasiatka3akcent1">
    <w:name w:val="Medium Grid 3 Accent 1"/>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redniasiatka3akcent2">
    <w:name w:val="Medium Grid 3 Accent 2"/>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redniasiatka3akcent3">
    <w:name w:val="Medium Grid 3 Accent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redniasiatka3akcent4">
    <w:name w:val="Medium Grid 3 Accent 4"/>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redniasiatka3akcent5">
    <w:name w:val="Medium Grid 3 Accent 5"/>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redniasiatka3akcent6">
    <w:name w:val="Medium Grid 3 Accent 6"/>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Ciemnalista">
    <w:name w:val="Dark List"/>
    <w:basedOn w:val="Standardowy"/>
    <w:uiPriority w:val="70"/>
    <w:rsid w:val="00cb0664"/>
    <w:rPr>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rPr>
      <w:color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rPr>
      <w:color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rPr>
      <w:color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rPr>
      <w:color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rPr>
      <w:color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rPr>
      <w:color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Kolorowecieniowanieakcent1">
    <w:name w:val="Colorful Shading Accent 1"/>
    <w:basedOn w:val="Standardowy"/>
    <w:uiPriority w:val="71"/>
    <w:rsid w:val="00cb0664"/>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4F81BD"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Kolorowecieniowanieakcent2">
    <w:name w:val="Colorful Shading Accent 2"/>
    <w:basedOn w:val="Standardowy"/>
    <w:uiPriority w:val="71"/>
    <w:rsid w:val="00cb0664"/>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C0504D"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Kolorowecieniowanieakcent3">
    <w:name w:val="Colorful Shading Accent 3"/>
    <w:basedOn w:val="Standardowy"/>
    <w:uiPriority w:val="71"/>
    <w:rsid w:val="00cb0664"/>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9BBB59"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8064A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Kolorowecieniowanieakcent5">
    <w:name w:val="Colorful Shading Accent 5"/>
    <w:basedOn w:val="Standardowy"/>
    <w:uiPriority w:val="71"/>
    <w:rsid w:val="00cb0664"/>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4BACC6"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Kolorowecieniowanieakcent6">
    <w:name w:val="Colorful Shading Accent 6"/>
    <w:basedOn w:val="Standardowy"/>
    <w:uiPriority w:val="71"/>
    <w:rsid w:val="00cb0664"/>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F79646"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Kolorowalista">
    <w:name w:val="Colorful List"/>
    <w:basedOn w:val="Standardowy"/>
    <w:uiPriority w:val="72"/>
    <w:rsid w:val="00cb0664"/>
    <w:rPr>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rPr>
      <w:color w:themeColor="text1"/>
    </w:rPr>
    <w:tblPr>
      <w:tblStyleRowBandSize w:val="1"/>
      <w:tblStyleColBandSize w:val="1"/>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rPr>
      <w:color w:themeColor="text1"/>
    </w:rPr>
    <w:tblPr>
      <w:tblStyleRowBandSize w:val="1"/>
      <w:tblStyleColBandSize w:val="1"/>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rPr>
      <w:color w:themeColor="text1"/>
    </w:rPr>
    <w:tblPr>
      <w:tblStyleRowBandSize w:val="1"/>
      <w:tblStyleColBandSize w:val="1"/>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rPr>
      <w:color w:themeColor="text1"/>
    </w:rPr>
    <w:tblPr>
      <w:tblStyleRowBandSize w:val="1"/>
      <w:tblStyleColBandSize w:val="1"/>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rPr>
      <w:color w:themeColor="text1"/>
    </w:rPr>
    <w:tblPr>
      <w:tblStyleRowBandSize w:val="1"/>
      <w:tblStyleColBandSize w:val="1"/>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rPr>
      <w:color w:themeColor="text1"/>
    </w:rPr>
    <w:tblPr>
      <w:tblStyleRowBandSize w:val="1"/>
      <w:tblStyleColBandSize w:val="1"/>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9BAD-7EFB-4FCF-93A5-7A02BF03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Application>LibreOffice/25.8.1.1$Windows_X86_64 LibreOffice_project/54047653041915e595ad4e45cccea684809c77b5</Application>
  <AppVersion>15.0000</AppVersion>
  <Pages>9</Pages>
  <Words>3656</Words>
  <Characters>25423</Characters>
  <CharactersWithSpaces>29017</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2026-07-10T07:24:00Z</dcterms:created>
  <dc:creator>Alek</dc:creator>
  <dc:description>kancelaria</dc:description>
  <dc:language>pl-PL</dc:language>
  <cp:lastModifiedBy/>
  <dcterms:modified xsi:type="dcterms:W3CDTF">2026-07-13T11:56:52Z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