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media/image1.png" ContentType="image/png"/>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sz w:val="22"/>
          <w:szCs w:val="22"/>
        </w:rPr>
      </w:pPr>
      <w:r>
        <w:drawing>
          <wp:anchor behindDoc="0" distT="0" distB="0" distL="0" distR="0" simplePos="0" locked="0" layoutInCell="0" allowOverlap="1" relativeHeight="2">
            <wp:simplePos x="0" y="0"/>
            <wp:positionH relativeFrom="column">
              <wp:posOffset>2279650</wp:posOffset>
            </wp:positionH>
            <wp:positionV relativeFrom="paragraph">
              <wp:posOffset>12700</wp:posOffset>
            </wp:positionV>
            <wp:extent cx="1951355" cy="661035"/>
            <wp:effectExtent l="0" t="0" r="0" b="0"/>
            <wp:wrapSquare wrapText="larges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2"/>
                    <a:stretch>
                      <a:fillRect/>
                    </a:stretch>
                  </pic:blipFill>
                  <pic:spPr bwMode="auto">
                    <a:xfrm>
                      <a:off x="0" y="0"/>
                      <a:ext cx="1951355" cy="661035"/>
                    </a:xfrm>
                    <a:prstGeom prst="rect">
                      <a:avLst/>
                    </a:prstGeom>
                    <a:noFill/>
                  </pic:spPr>
                </pic:pic>
              </a:graphicData>
            </a:graphic>
          </wp:anchor>
        </w:drawing>
      </w:r>
      <w:r>
        <w:rPr>
          <w:rFonts w:cs="Times New Roman" w:ascii="Arial" w:hAnsi="Arial"/>
          <w:b/>
          <w:bCs/>
          <w:sz w:val="22"/>
          <w:szCs w:val="22"/>
          <w:lang w:val="pl-PL"/>
        </w:rPr>
        <w:t>POWIAT BUSKI</w:t>
      </w:r>
      <w:r>
        <w:rPr>
          <w:rFonts w:cs="Times New Roman" w:ascii="Arial" w:hAnsi="Arial"/>
          <w:sz w:val="22"/>
          <w:szCs w:val="22"/>
          <w:lang w:val="pl-PL"/>
        </w:rPr>
        <w:br/>
        <w:t>Al. Mickiewicza 15</w:t>
        <w:br/>
        <w:t>28-100 Busko-Zdrój</w:t>
        <w:br/>
        <w:t xml:space="preserve">REGON </w:t>
      </w:r>
      <w:r>
        <w:rPr>
          <w:rFonts w:cs="Arial" w:ascii="Arial" w:hAnsi="Arial"/>
          <w:sz w:val="22"/>
          <w:szCs w:val="22"/>
          <w:lang w:val="pl-PL"/>
        </w:rPr>
        <w:t>291009350</w:t>
      </w:r>
      <w:r>
        <w:rPr>
          <w:rFonts w:cs="Times New Roman" w:ascii="Arial" w:hAnsi="Arial"/>
          <w:sz w:val="22"/>
          <w:szCs w:val="22"/>
          <w:lang w:val="pl-PL"/>
        </w:rPr>
        <w:t xml:space="preserve"> </w:t>
      </w:r>
    </w:p>
    <w:p>
      <w:pPr>
        <w:pStyle w:val="Normal"/>
        <w:rPr>
          <w:rFonts w:ascii="Arial" w:hAnsi="Arial"/>
          <w:sz w:val="22"/>
          <w:szCs w:val="22"/>
        </w:rPr>
      </w:pPr>
      <w:r>
        <w:rPr>
          <w:rFonts w:cs="Times New Roman" w:ascii="Arial" w:hAnsi="Arial"/>
          <w:sz w:val="22"/>
          <w:szCs w:val="22"/>
          <w:lang w:val="pl-PL"/>
        </w:rPr>
        <w:t xml:space="preserve">NIP </w:t>
      </w:r>
      <w:r>
        <w:rPr>
          <w:rFonts w:cs="Arial" w:ascii="Arial" w:hAnsi="Arial"/>
          <w:sz w:val="22"/>
          <w:szCs w:val="22"/>
          <w:lang w:val="pl-PL"/>
        </w:rPr>
        <w:t>6551925375</w:t>
      </w:r>
    </w:p>
    <w:p>
      <w:pPr>
        <w:pStyle w:val="Normal"/>
        <w:jc w:val="right"/>
        <w:rPr>
          <w:rFonts w:ascii="Arial" w:hAnsi="Arial"/>
          <w:sz w:val="22"/>
          <w:szCs w:val="22"/>
        </w:rPr>
      </w:pPr>
      <w:r>
        <w:rPr>
          <w:rFonts w:cs="Times New Roman" w:ascii="Arial" w:hAnsi="Arial"/>
          <w:sz w:val="22"/>
          <w:szCs w:val="22"/>
          <w:lang w:val="pl-PL"/>
        </w:rPr>
        <w:t>Busko-Zdrój, dnia 2</w:t>
      </w:r>
      <w:r>
        <w:rPr>
          <w:rFonts w:cs="Times New Roman" w:ascii="Arial" w:hAnsi="Arial"/>
          <w:sz w:val="22"/>
          <w:szCs w:val="22"/>
          <w:lang w:val="pl-PL"/>
        </w:rPr>
        <w:t>4</w:t>
      </w:r>
      <w:r>
        <w:rPr>
          <w:rFonts w:cs="Times New Roman" w:ascii="Arial" w:hAnsi="Arial"/>
          <w:sz w:val="22"/>
          <w:szCs w:val="22"/>
          <w:lang w:val="pl-PL"/>
        </w:rPr>
        <w:t>.07.2026 r.</w:t>
      </w:r>
    </w:p>
    <w:p>
      <w:pPr>
        <w:pStyle w:val="Normal"/>
        <w:rPr>
          <w:rFonts w:ascii="Arial" w:hAnsi="Arial"/>
          <w:sz w:val="22"/>
          <w:szCs w:val="22"/>
        </w:rPr>
      </w:pPr>
      <w:r>
        <w:rPr>
          <w:rFonts w:cs="Times New Roman" w:ascii="Arial" w:hAnsi="Arial"/>
          <w:sz w:val="22"/>
          <w:szCs w:val="22"/>
          <w:lang w:val="pl-PL"/>
        </w:rPr>
        <w:t>Znak: ZP.272.8.2026</w:t>
      </w:r>
    </w:p>
    <w:p>
      <w:pPr>
        <w:pStyle w:val="Normal"/>
        <w:spacing w:before="57" w:after="57"/>
        <w:jc w:val="center"/>
        <w:rPr>
          <w:rFonts w:ascii="Arial" w:hAnsi="Arial"/>
          <w:sz w:val="22"/>
          <w:szCs w:val="22"/>
        </w:rPr>
      </w:pPr>
      <w:r>
        <w:rPr>
          <w:rFonts w:cs="Times New Roman" w:ascii="Arial" w:hAnsi="Arial"/>
          <w:b/>
          <w:sz w:val="22"/>
          <w:szCs w:val="22"/>
          <w:lang w:val="pl-PL"/>
        </w:rPr>
        <w:t>ZAPROSZENIE DO ZŁOŻENIA OFERTY</w:t>
      </w:r>
    </w:p>
    <w:p>
      <w:pPr>
        <w:pStyle w:val="Normal"/>
        <w:spacing w:before="114" w:after="114"/>
        <w:jc w:val="both"/>
        <w:rPr>
          <w:rFonts w:ascii="Arial" w:hAnsi="Arial"/>
          <w:sz w:val="22"/>
          <w:szCs w:val="22"/>
        </w:rPr>
      </w:pPr>
      <w:r>
        <w:rPr>
          <w:rFonts w:cs="Times New Roman" w:ascii="Arial" w:hAnsi="Arial"/>
          <w:sz w:val="22"/>
          <w:szCs w:val="22"/>
          <w:lang w:val="pl-PL"/>
        </w:rPr>
        <w:t xml:space="preserve">Powiat Buski, Al. Mickiewicza 15, 28-100 Busko-Zdrój, NIP: </w:t>
      </w:r>
      <w:r>
        <w:rPr>
          <w:rFonts w:cs="Arial" w:ascii="Arial" w:hAnsi="Arial"/>
          <w:sz w:val="22"/>
          <w:szCs w:val="22"/>
          <w:lang w:val="pl-PL"/>
        </w:rPr>
        <w:t>6551925375</w:t>
      </w:r>
      <w:r>
        <w:rPr>
          <w:rFonts w:cs="Times New Roman" w:ascii="Arial" w:hAnsi="Arial"/>
          <w:sz w:val="22"/>
          <w:szCs w:val="22"/>
          <w:lang w:val="pl-PL"/>
        </w:rPr>
        <w:t>, działając na podstawie art. 157a ustawy z dnia 5 grudnia 2024 r. o ochronie ludności i obronie cywilnej (Dz. U. z 2024 r. poz. 1907 ze zm.), zaprasza do złożenia oferty cenowej na wykonanie zadania pn.:</w:t>
      </w:r>
    </w:p>
    <w:p>
      <w:pPr>
        <w:pStyle w:val="Normal"/>
        <w:shd w:val="clear" w:color="auto" w:fill="D9D9D9" w:themeFill="background1" w:themeFillShade="d9"/>
        <w:spacing w:before="171" w:after="171"/>
        <w:jc w:val="center"/>
        <w:rPr>
          <w:rFonts w:ascii="Arial" w:hAnsi="Arial"/>
          <w:sz w:val="24"/>
          <w:szCs w:val="24"/>
        </w:rPr>
      </w:pPr>
      <w:r>
        <w:rPr>
          <w:rFonts w:cs="Times New Roman" w:ascii="Arial" w:hAnsi="Arial"/>
          <w:b/>
          <w:bCs/>
          <w:sz w:val="24"/>
          <w:szCs w:val="24"/>
          <w:lang w:val="pl-PL"/>
        </w:rPr>
        <w:t>„</w:t>
      </w:r>
      <w:r>
        <w:rPr>
          <w:rFonts w:cs="Times New Roman" w:ascii="Arial" w:hAnsi="Arial"/>
          <w:b/>
          <w:bCs/>
          <w:sz w:val="24"/>
          <w:szCs w:val="24"/>
          <w:lang w:val="pl-PL"/>
        </w:rPr>
        <w:t>Budowa budowli ochronnej o kategorii U-1 pod salą gimnastyczną na działkach nr 121/1, 121/5, 121/6, 122/1 i 122/6 przy Al. Mickiewicza 23 w Busku-Zdroju”</w:t>
      </w:r>
    </w:p>
    <w:tbl>
      <w:tblPr>
        <w:tblStyle w:val="Tabela-Siatka"/>
        <w:tblW w:w="997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972"/>
      </w:tblGrid>
      <w:tr>
        <w:trPr/>
        <w:tc>
          <w:tcPr>
            <w:tcW w:w="9972" w:type="dxa"/>
            <w:tcBorders/>
            <w:shd w:color="auto" w:fill="F2F2F2" w:themeFill="background1" w:themeFillShade="f2" w:val="clear"/>
          </w:tcPr>
          <w:p>
            <w:pPr>
              <w:pStyle w:val="Normal"/>
              <w:widowControl/>
              <w:suppressAutoHyphens w:val="true"/>
              <w:spacing w:before="57" w:after="57"/>
              <w:jc w:val="left"/>
              <w:rPr>
                <w:rFonts w:ascii="Arial" w:hAnsi="Arial" w:eastAsia="MS Mincho" w:cs="Times New Roman"/>
                <w:b/>
                <w:kern w:val="0"/>
                <w:sz w:val="22"/>
                <w:szCs w:val="22"/>
                <w:lang w:val="pl-PL" w:eastAsia="en-US" w:bidi="ar-SA"/>
              </w:rPr>
            </w:pPr>
            <w:r>
              <w:rPr>
                <w:rFonts w:eastAsia="MS Mincho" w:cs="Times New Roman" w:ascii="Arial" w:hAnsi="Arial"/>
                <w:b/>
                <w:kern w:val="0"/>
                <w:sz w:val="22"/>
                <w:szCs w:val="22"/>
                <w:lang w:val="pl-PL" w:eastAsia="en-US" w:bidi="ar-SA"/>
              </w:rPr>
              <w:t>Zastrzeżenie proceduralne:</w:t>
            </w:r>
          </w:p>
          <w:p>
            <w:pPr>
              <w:pStyle w:val="ListParagraph"/>
              <w:widowControl/>
              <w:numPr>
                <w:ilvl w:val="0"/>
                <w:numId w:val="9"/>
              </w:numPr>
              <w:suppressAutoHyphens w:val="true"/>
              <w:spacing w:before="0" w:after="0"/>
              <w:contextualSpacing/>
              <w:jc w:val="both"/>
              <w:rPr>
                <w:rFonts w:ascii="Arial" w:hAnsi="Arial" w:cs=""/>
                <w:kern w:val="0"/>
                <w:sz w:val="22"/>
                <w:szCs w:val="22"/>
                <w:lang w:val="en-US" w:bidi="ar-SA"/>
              </w:rPr>
            </w:pPr>
            <w:r>
              <w:rPr>
                <w:rFonts w:eastAsia="MS Mincho" w:cs="Times New Roman" w:ascii="Arial" w:hAnsi="Arial"/>
                <w:kern w:val="0"/>
                <w:sz w:val="22"/>
                <w:szCs w:val="22"/>
                <w:lang w:val="pl-PL" w:eastAsia="en-US" w:bidi="ar-SA"/>
              </w:rPr>
              <w:t>Do postępowania nie stosuje się ustawy z dnia 11 września 2019 r. Prawo zamówień publicznych, z wyjątkiem postanowień wyraźnie przywołanych w niniejszym Zaproszeniu jako stosowane odpowiednio w celu zachowania przejrzystości, równego traktowania wykonawców i sprawności postępowania.</w:t>
            </w:r>
          </w:p>
          <w:p>
            <w:pPr>
              <w:pStyle w:val="ListParagraph"/>
              <w:widowControl/>
              <w:numPr>
                <w:ilvl w:val="0"/>
                <w:numId w:val="9"/>
              </w:numPr>
              <w:suppressAutoHyphens w:val="true"/>
              <w:spacing w:before="0" w:after="0"/>
              <w:contextualSpacing/>
              <w:jc w:val="both"/>
              <w:rPr>
                <w:rFonts w:ascii="Arial" w:hAnsi="Arial" w:cs=""/>
                <w:kern w:val="0"/>
                <w:sz w:val="22"/>
                <w:szCs w:val="22"/>
                <w:lang w:val="en-US" w:bidi="ar-SA"/>
              </w:rPr>
            </w:pPr>
            <w:r>
              <w:rPr>
                <w:rFonts w:eastAsia="MS Mincho" w:cs="Times New Roman" w:ascii="Arial" w:hAnsi="Arial"/>
                <w:kern w:val="0"/>
                <w:sz w:val="22"/>
                <w:szCs w:val="22"/>
                <w:lang w:val="pl-PL" w:eastAsia="en-US" w:bidi="ar-SA"/>
              </w:rPr>
              <w:t>W zakresie warunków udziału w postępowaniu, podmiotowych i przedmiotowych środków dowodowych, ich wyjaśniania i uzupełniania, podwykonawców, wykonawców wspólnie ubiegających się o udzielenie zamówienia, polegania na zasobach podmiotów trzecich, wadium oraz zabezpieczenia należytego wykonania umowy stosuje się postanowienia niniejszego Zaproszenia, odpowiednio wzorowane na rozwiązaniach ustawy Pzp.</w:t>
            </w:r>
          </w:p>
          <w:p>
            <w:pPr>
              <w:pStyle w:val="ListParagraph"/>
              <w:widowControl/>
              <w:numPr>
                <w:ilvl w:val="0"/>
                <w:numId w:val="9"/>
              </w:numPr>
              <w:suppressAutoHyphens w:val="true"/>
              <w:spacing w:before="0" w:after="0"/>
              <w:contextualSpacing/>
              <w:jc w:val="both"/>
              <w:rPr>
                <w:rFonts w:ascii="Arial" w:hAnsi="Arial" w:cs=""/>
                <w:kern w:val="0"/>
                <w:sz w:val="22"/>
                <w:szCs w:val="22"/>
                <w:lang w:val="en-US" w:bidi="ar-SA"/>
              </w:rPr>
            </w:pPr>
            <w:r>
              <w:rPr>
                <w:rFonts w:eastAsia="MS Mincho" w:cs="Times New Roman" w:ascii="Arial" w:hAnsi="Arial"/>
                <w:kern w:val="0"/>
                <w:sz w:val="22"/>
                <w:szCs w:val="22"/>
                <w:lang w:val="pl-PL" w:eastAsia="en-US" w:bidi="ar-SA"/>
              </w:rPr>
              <w:t>Zastosowanie odpowiednie rozwiązań Pzp nie oznacza, że postępowanie staje się postępowaniem prowadzonym na podstawie ustawy Pzp.</w:t>
            </w:r>
          </w:p>
        </w:tc>
      </w:tr>
    </w:tbl>
    <w:p>
      <w:pPr>
        <w:pStyle w:val="Heading1"/>
        <w:spacing w:before="240" w:after="60"/>
        <w:rPr>
          <w:rFonts w:ascii="Arial" w:hAnsi="Arial"/>
          <w:sz w:val="22"/>
          <w:szCs w:val="22"/>
        </w:rPr>
      </w:pPr>
      <w:r>
        <w:rPr>
          <w:rFonts w:cs="Times New Roman" w:ascii="Arial" w:hAnsi="Arial"/>
          <w:color w:val="auto"/>
          <w:sz w:val="22"/>
          <w:szCs w:val="22"/>
          <w:lang w:val="pl-PL"/>
        </w:rPr>
        <w:t>I. INFORMACJA O ZAMAWIAJĄCYM</w:t>
      </w:r>
    </w:p>
    <w:p>
      <w:pPr>
        <w:pStyle w:val="Normal"/>
        <w:spacing w:lineRule="auto" w:line="276"/>
        <w:rPr/>
      </w:pPr>
      <w:r>
        <w:rPr>
          <w:rFonts w:cs="Times New Roman" w:ascii="Arial" w:hAnsi="Arial"/>
          <w:bCs/>
          <w:sz w:val="20"/>
          <w:szCs w:val="20"/>
          <w:lang w:val="pl-PL"/>
        </w:rPr>
        <w:t>POWIAT BUSKI, Al. Mickiewicza 15, 28-100 Busko-Zdrój</w:t>
        <w:br/>
        <w:t>tel.: (+48) 41 370-50-00</w:t>
        <w:br/>
        <w:t>e-mail: starostwo@powiat.busko.pl</w:t>
        <w:br/>
        <w:t xml:space="preserve">strona internetowa/BIP: </w:t>
      </w:r>
      <w:r>
        <w:rPr>
          <w:rStyle w:val="markedcontent"/>
          <w:rFonts w:cs="Times New Roman" w:ascii="Arial" w:hAnsi="Arial"/>
          <w:bCs/>
          <w:sz w:val="20"/>
          <w:szCs w:val="20"/>
          <w:lang w:val="pl-PL"/>
        </w:rPr>
        <w:t>https://bip.powiat.busko.pl</w:t>
      </w:r>
    </w:p>
    <w:p>
      <w:pPr>
        <w:pStyle w:val="Heading1"/>
        <w:spacing w:before="240" w:after="60"/>
        <w:rPr>
          <w:rFonts w:ascii="Arial" w:hAnsi="Arial"/>
          <w:sz w:val="22"/>
          <w:szCs w:val="22"/>
        </w:rPr>
      </w:pPr>
      <w:r>
        <w:rPr>
          <w:rFonts w:cs="Times New Roman" w:ascii="Arial" w:hAnsi="Arial"/>
          <w:color w:val="auto"/>
          <w:sz w:val="22"/>
          <w:szCs w:val="22"/>
          <w:lang w:val="pl-PL"/>
        </w:rPr>
        <w:t>II. PODSTAWA PRAWNA I WSZCZĘCIE POSTĘPOWANIA</w:t>
      </w:r>
    </w:p>
    <w:p>
      <w:pPr>
        <w:pStyle w:val="ListParagraph"/>
        <w:numPr>
          <w:ilvl w:val="0"/>
          <w:numId w:val="7"/>
        </w:numPr>
        <w:spacing w:lineRule="auto" w:line="240"/>
        <w:jc w:val="both"/>
        <w:rPr>
          <w:sz w:val="20"/>
          <w:szCs w:val="20"/>
        </w:rPr>
      </w:pPr>
      <w:r>
        <w:rPr>
          <w:rFonts w:cs="Times New Roman" w:ascii="Arial" w:hAnsi="Arial"/>
          <w:sz w:val="20"/>
          <w:szCs w:val="20"/>
          <w:lang w:val="pl-PL"/>
        </w:rPr>
        <w:t xml:space="preserve">Postępowanie prowadzone jest na podstawie art. 157a ustawy o ochronie ludności i obronie cywilnej. Przedmiot zamówienia bezpośrednio służy realizacji zadań ochrony ludności i obrony cywilnej               </w:t>
      </w:r>
      <w:r>
        <w:rPr>
          <w:rFonts w:cs="Times New Roman" w:ascii="Arial" w:hAnsi="Arial"/>
          <w:color w:val="000000"/>
          <w:sz w:val="20"/>
          <w:szCs w:val="20"/>
          <w:lang w:val="pl-PL"/>
        </w:rPr>
        <w:t>w zakresie budowy budowli ochronnej o kategorii U-1.</w:t>
      </w:r>
    </w:p>
    <w:p>
      <w:pPr>
        <w:pStyle w:val="ListParagraph"/>
        <w:numPr>
          <w:ilvl w:val="0"/>
          <w:numId w:val="7"/>
        </w:numPr>
        <w:spacing w:lineRule="auto" w:line="240"/>
        <w:ind w:hanging="357" w:left="714"/>
        <w:jc w:val="both"/>
        <w:rPr/>
      </w:pPr>
      <w:r>
        <w:rPr>
          <w:rFonts w:cs="Times New Roman" w:ascii="Arial" w:hAnsi="Arial"/>
          <w:sz w:val="20"/>
          <w:szCs w:val="20"/>
          <w:lang w:val="pl-PL"/>
        </w:rPr>
        <w:t xml:space="preserve">Postępowanie zostaje wszczęte poprzez zamieszczenie ogłoszenia o udzielanym zamówieniu wraz               z niniejszym Zaproszeniem i załącznikami w Biuletynie Informacji Publicznej Zamawiającego na stronie podmiotowej: </w:t>
      </w:r>
      <w:hyperlink r:id="rId3">
        <w:r>
          <w:rPr>
            <w:rStyle w:val="Hyperlink"/>
            <w:rFonts w:cs="Times New Roman" w:ascii="Arial" w:hAnsi="Arial"/>
            <w:sz w:val="20"/>
            <w:szCs w:val="20"/>
            <w:lang w:val="pl-PL"/>
          </w:rPr>
          <w:t>https://bip.powiat.busko.pl</w:t>
        </w:r>
      </w:hyperlink>
      <w:r>
        <w:rPr>
          <w:rFonts w:cs="Times New Roman" w:ascii="Arial" w:hAnsi="Arial"/>
          <w:sz w:val="20"/>
          <w:szCs w:val="20"/>
          <w:lang w:val="pl-PL"/>
        </w:rPr>
        <w:t>.</w:t>
      </w:r>
    </w:p>
    <w:p>
      <w:pPr>
        <w:pStyle w:val="ListParagraph"/>
        <w:numPr>
          <w:ilvl w:val="0"/>
          <w:numId w:val="7"/>
        </w:numPr>
        <w:spacing w:lineRule="auto" w:line="240"/>
        <w:jc w:val="both"/>
        <w:rPr>
          <w:sz w:val="20"/>
          <w:szCs w:val="20"/>
        </w:rPr>
      </w:pPr>
      <w:r>
        <w:rPr>
          <w:rFonts w:cs="Times New Roman" w:ascii="Arial" w:hAnsi="Arial"/>
          <w:sz w:val="20"/>
          <w:szCs w:val="20"/>
          <w:lang w:val="pl-PL"/>
        </w:rPr>
        <w:t>Zamawiający niezwłocznie zamieści w Biuletynie Informacji Publicznej informację o udzieleniu zamówienia, podając nazwę albo imię i nazwisko podmiotu albo osoby, z którą zawarł umowę, albo informację o nieudzieleniu zamówienia.</w:t>
      </w:r>
    </w:p>
    <w:p>
      <w:pPr>
        <w:pStyle w:val="Heading1"/>
        <w:spacing w:before="120" w:after="60"/>
        <w:rPr>
          <w:rFonts w:ascii="Arial" w:hAnsi="Arial"/>
          <w:sz w:val="22"/>
          <w:szCs w:val="22"/>
        </w:rPr>
      </w:pPr>
      <w:r>
        <w:rPr>
          <w:rFonts w:cs="Times New Roman" w:ascii="Arial" w:hAnsi="Arial"/>
          <w:color w:val="auto"/>
          <w:sz w:val="22"/>
          <w:szCs w:val="22"/>
          <w:lang w:val="pl-PL"/>
        </w:rPr>
        <w:t>III. OPIS PRZEDMIOTU ZAMÓWIENIA</w:t>
      </w:r>
    </w:p>
    <w:p>
      <w:pPr>
        <w:pStyle w:val="ListParagraph"/>
        <w:numPr>
          <w:ilvl w:val="0"/>
          <w:numId w:val="8"/>
        </w:numPr>
        <w:spacing w:lineRule="auto" w:line="240" w:before="0" w:after="86"/>
        <w:ind w:hanging="357" w:left="714"/>
        <w:contextualSpacing/>
        <w:jc w:val="both"/>
        <w:rPr>
          <w:rFonts w:ascii="Arial" w:hAnsi="Arial" w:cs="Times New Roman"/>
          <w:sz w:val="20"/>
          <w:szCs w:val="20"/>
          <w:lang w:val="pl-PL"/>
        </w:rPr>
      </w:pPr>
      <w:r>
        <w:rPr>
          <w:rFonts w:cs="Times New Roman" w:ascii="Arial" w:hAnsi="Arial"/>
          <w:sz w:val="20"/>
          <w:szCs w:val="20"/>
          <w:lang w:val="pl-PL"/>
        </w:rPr>
        <w:t>Przedmiotem zamówienia jest budowa budowli ochronnej o kategorii U-1 pod salą gimnastyczną na działkach nr 121/1, 121/5, 121/6, 122/1 i 122/6 przy Al. Mickiewicza 23 w Busku-Zdroju.</w:t>
      </w:r>
    </w:p>
    <w:p>
      <w:pPr>
        <w:pStyle w:val="Normal"/>
        <w:numPr>
          <w:ilvl w:val="0"/>
          <w:numId w:val="8"/>
        </w:numPr>
        <w:spacing w:before="57" w:after="57"/>
        <w:ind w:hanging="357" w:left="714"/>
        <w:jc w:val="both"/>
        <w:rPr>
          <w:rFonts w:ascii="Arial" w:hAnsi="Arial"/>
          <w:sz w:val="20"/>
          <w:szCs w:val="20"/>
        </w:rPr>
      </w:pPr>
      <w:r>
        <w:rPr>
          <w:rFonts w:ascii="Arial" w:hAnsi="Arial"/>
          <w:sz w:val="20"/>
          <w:szCs w:val="20"/>
          <w:lang w:val="pl-PL" w:eastAsia="pl-PL" w:bidi="ar-SA"/>
        </w:rPr>
        <w:t>Zadanie inwestycyjne obejmuje wykonanie w projektowanej rozbudowie budynku sali gimnastycznej              w części podziemnej jako budowli ochronnej U-1. Zakres robót dotyczy tylko wykonani</w:t>
      </w:r>
      <w:r>
        <w:rPr>
          <w:rFonts w:ascii="Arial" w:hAnsi="Arial"/>
          <w:sz w:val="20"/>
          <w:szCs w:val="20"/>
          <w:lang w:val="pl-PL" w:eastAsia="pl-PL" w:bidi="ar-SA"/>
        </w:rPr>
        <w:t>a</w:t>
      </w:r>
      <w:r>
        <w:rPr>
          <w:rFonts w:ascii="Arial" w:hAnsi="Arial"/>
          <w:sz w:val="20"/>
          <w:szCs w:val="20"/>
          <w:lang w:val="pl-PL" w:eastAsia="pl-PL" w:bidi="ar-SA"/>
        </w:rPr>
        <w:t xml:space="preserve"> pełnego podpiwniczenia budynku w celu </w:t>
      </w:r>
      <w:bookmarkStart w:id="0" w:name="_GoBack_kopia_1"/>
      <w:r>
        <w:rPr>
          <w:rFonts w:ascii="Arial" w:hAnsi="Arial"/>
          <w:sz w:val="20"/>
          <w:szCs w:val="20"/>
          <w:lang w:val="pl-PL" w:eastAsia="pl-PL" w:bidi="ar-SA"/>
        </w:rPr>
        <w:t>lokalizacji</w:t>
      </w:r>
      <w:bookmarkEnd w:id="0"/>
      <w:r>
        <w:rPr>
          <w:rFonts w:ascii="Arial" w:hAnsi="Arial"/>
          <w:sz w:val="20"/>
          <w:szCs w:val="20"/>
          <w:lang w:val="pl-PL" w:eastAsia="pl-PL" w:bidi="ar-SA"/>
        </w:rPr>
        <w:t xml:space="preserve"> w budowli ochronnej U-1, wyposażonego w podstawowy węzeł sanitarny oraz wyjście zapasowe wyprowadzone poza strefę zagruzowania. Wykonanie pozostałej część nadziemnej zadania według odrębnego postępowania.</w:t>
      </w:r>
    </w:p>
    <w:p>
      <w:pPr>
        <w:pStyle w:val="Normal"/>
        <w:numPr>
          <w:ilvl w:val="0"/>
          <w:numId w:val="0"/>
        </w:numPr>
        <w:spacing w:before="57" w:after="57"/>
        <w:ind w:hanging="0" w:left="714"/>
        <w:jc w:val="both"/>
        <w:rPr>
          <w:rFonts w:ascii="Arial" w:hAnsi="Arial"/>
          <w:sz w:val="20"/>
          <w:szCs w:val="20"/>
          <w:lang w:val="pl-PL" w:eastAsia="pl-PL" w:bidi="ar-SA"/>
        </w:rPr>
      </w:pPr>
      <w:r>
        <w:rPr>
          <w:rFonts w:ascii="Arial" w:hAnsi="Arial"/>
          <w:sz w:val="20"/>
          <w:szCs w:val="20"/>
          <w:lang w:val="pl-PL" w:eastAsia="pl-PL" w:bidi="ar-SA"/>
        </w:rPr>
        <w:t>Planowane jest wykonanie następujących robót budowlanych:</w:t>
      </w:r>
    </w:p>
    <w:p>
      <w:pPr>
        <w:pStyle w:val="Normal"/>
        <w:numPr>
          <w:ilvl w:val="0"/>
          <w:numId w:val="0"/>
        </w:numPr>
        <w:ind w:hanging="0" w:left="714"/>
        <w:jc w:val="both"/>
        <w:rPr>
          <w:rFonts w:ascii="Arial" w:hAnsi="Arial"/>
          <w:sz w:val="20"/>
          <w:szCs w:val="20"/>
          <w:lang w:val="pl-PL" w:eastAsia="pl-PL" w:bidi="ar-SA"/>
        </w:rPr>
      </w:pPr>
      <w:r>
        <w:rPr>
          <w:rFonts w:ascii="Arial" w:hAnsi="Arial"/>
          <w:sz w:val="20"/>
          <w:szCs w:val="20"/>
          <w:lang w:val="pl-PL" w:eastAsia="pl-PL" w:bidi="ar-SA"/>
        </w:rPr>
        <w:t>•</w:t>
      </w:r>
      <w:r>
        <w:rPr>
          <w:rFonts w:ascii="Arial" w:hAnsi="Arial"/>
          <w:sz w:val="20"/>
          <w:szCs w:val="20"/>
          <w:lang w:val="pl-PL" w:eastAsia="pl-PL" w:bidi="ar-SA"/>
        </w:rPr>
        <w:tab/>
        <w:t xml:space="preserve">Roboty rozbiórkowe istniejącej </w:t>
      </w:r>
      <w:r>
        <w:rPr>
          <w:rFonts w:ascii="Arial" w:hAnsi="Arial"/>
          <w:sz w:val="20"/>
          <w:szCs w:val="20"/>
          <w:lang w:val="pl-PL" w:eastAsia="pl-PL" w:bidi="ar-SA"/>
        </w:rPr>
        <w:t>s</w:t>
      </w:r>
      <w:r>
        <w:rPr>
          <w:rFonts w:ascii="Arial" w:hAnsi="Arial"/>
          <w:sz w:val="20"/>
          <w:szCs w:val="20"/>
          <w:lang w:val="pl-PL" w:eastAsia="pl-PL" w:bidi="ar-SA"/>
        </w:rPr>
        <w:t>ali</w:t>
      </w:r>
    </w:p>
    <w:p>
      <w:pPr>
        <w:pStyle w:val="Normal"/>
        <w:numPr>
          <w:ilvl w:val="0"/>
          <w:numId w:val="0"/>
        </w:numPr>
        <w:ind w:hanging="0" w:left="714"/>
        <w:jc w:val="both"/>
        <w:rPr>
          <w:rFonts w:ascii="Arial" w:hAnsi="Arial"/>
          <w:sz w:val="20"/>
          <w:szCs w:val="20"/>
          <w:lang w:val="pl-PL" w:eastAsia="pl-PL" w:bidi="ar-SA"/>
        </w:rPr>
      </w:pPr>
      <w:r>
        <w:rPr>
          <w:rFonts w:ascii="Arial" w:hAnsi="Arial"/>
          <w:sz w:val="20"/>
          <w:szCs w:val="20"/>
          <w:lang w:val="pl-PL" w:eastAsia="pl-PL" w:bidi="ar-SA"/>
        </w:rPr>
        <w:t>•</w:t>
      </w:r>
      <w:r>
        <w:rPr>
          <w:rFonts w:ascii="Arial" w:hAnsi="Arial"/>
          <w:sz w:val="20"/>
          <w:szCs w:val="20"/>
          <w:lang w:val="pl-PL" w:eastAsia="pl-PL" w:bidi="ar-SA"/>
        </w:rPr>
        <w:tab/>
        <w:t>Wykonanie robót ziemnych pod budowlę ochronną U-1</w:t>
      </w:r>
    </w:p>
    <w:p>
      <w:pPr>
        <w:pStyle w:val="Normal"/>
        <w:numPr>
          <w:ilvl w:val="0"/>
          <w:numId w:val="0"/>
        </w:numPr>
        <w:ind w:hanging="0" w:left="714"/>
        <w:jc w:val="both"/>
        <w:rPr>
          <w:rFonts w:ascii="Arial" w:hAnsi="Arial"/>
          <w:sz w:val="20"/>
          <w:szCs w:val="20"/>
          <w:lang w:val="pl-PL" w:eastAsia="pl-PL" w:bidi="ar-SA"/>
        </w:rPr>
      </w:pPr>
      <w:r>
        <w:rPr>
          <w:rFonts w:ascii="Arial" w:hAnsi="Arial"/>
          <w:sz w:val="20"/>
          <w:szCs w:val="20"/>
          <w:lang w:val="pl-PL" w:eastAsia="pl-PL" w:bidi="ar-SA"/>
        </w:rPr>
        <w:t>•</w:t>
      </w:r>
      <w:r>
        <w:rPr>
          <w:rFonts w:ascii="Arial" w:hAnsi="Arial"/>
          <w:sz w:val="20"/>
          <w:szCs w:val="20"/>
          <w:lang w:val="pl-PL" w:eastAsia="pl-PL" w:bidi="ar-SA"/>
        </w:rPr>
        <w:tab/>
        <w:t>Wykonanie fundamentów wraz z izolacją</w:t>
      </w:r>
    </w:p>
    <w:p>
      <w:pPr>
        <w:pStyle w:val="Normal"/>
        <w:numPr>
          <w:ilvl w:val="0"/>
          <w:numId w:val="0"/>
        </w:numPr>
        <w:ind w:hanging="0" w:left="714"/>
        <w:jc w:val="both"/>
        <w:rPr>
          <w:rFonts w:ascii="Arial" w:hAnsi="Arial"/>
          <w:sz w:val="20"/>
          <w:szCs w:val="20"/>
          <w:lang w:val="pl-PL" w:eastAsia="pl-PL" w:bidi="ar-SA"/>
        </w:rPr>
      </w:pPr>
      <w:r>
        <w:rPr>
          <w:rFonts w:ascii="Arial" w:hAnsi="Arial"/>
          <w:sz w:val="20"/>
          <w:szCs w:val="20"/>
          <w:lang w:val="pl-PL" w:eastAsia="pl-PL" w:bidi="ar-SA"/>
        </w:rPr>
        <w:t>•</w:t>
      </w:r>
      <w:r>
        <w:rPr>
          <w:rFonts w:ascii="Arial" w:hAnsi="Arial"/>
          <w:sz w:val="20"/>
          <w:szCs w:val="20"/>
          <w:lang w:val="pl-PL" w:eastAsia="pl-PL" w:bidi="ar-SA"/>
        </w:rPr>
        <w:tab/>
        <w:t>Wykonanie ścian żelbetowych oraz stropu  podziemia</w:t>
      </w:r>
    </w:p>
    <w:p>
      <w:pPr>
        <w:pStyle w:val="Normal"/>
        <w:numPr>
          <w:ilvl w:val="0"/>
          <w:numId w:val="0"/>
        </w:numPr>
        <w:ind w:hanging="0" w:left="714"/>
        <w:jc w:val="both"/>
        <w:rPr>
          <w:rFonts w:ascii="Arial" w:hAnsi="Arial"/>
          <w:sz w:val="20"/>
          <w:szCs w:val="20"/>
          <w:lang w:val="pl-PL" w:eastAsia="pl-PL" w:bidi="ar-SA"/>
        </w:rPr>
      </w:pPr>
      <w:r>
        <w:rPr>
          <w:rFonts w:ascii="Arial" w:hAnsi="Arial"/>
          <w:sz w:val="20"/>
          <w:szCs w:val="20"/>
          <w:lang w:val="pl-PL" w:eastAsia="pl-PL" w:bidi="ar-SA"/>
        </w:rPr>
        <w:t>•</w:t>
      </w:r>
      <w:r>
        <w:rPr>
          <w:rFonts w:ascii="Arial" w:hAnsi="Arial"/>
          <w:sz w:val="20"/>
          <w:szCs w:val="20"/>
          <w:lang w:val="pl-PL" w:eastAsia="pl-PL" w:bidi="ar-SA"/>
        </w:rPr>
        <w:tab/>
        <w:t>Roboty izolacyjne zewnętrzne</w:t>
      </w:r>
    </w:p>
    <w:p>
      <w:pPr>
        <w:pStyle w:val="Normal"/>
        <w:numPr>
          <w:ilvl w:val="0"/>
          <w:numId w:val="0"/>
        </w:numPr>
        <w:ind w:hanging="0" w:left="714"/>
        <w:jc w:val="both"/>
        <w:rPr>
          <w:rFonts w:ascii="Arial" w:hAnsi="Arial"/>
          <w:sz w:val="20"/>
          <w:szCs w:val="20"/>
          <w:lang w:val="pl-PL" w:eastAsia="pl-PL" w:bidi="ar-SA"/>
        </w:rPr>
      </w:pPr>
      <w:r>
        <w:rPr>
          <w:rFonts w:ascii="Arial" w:hAnsi="Arial"/>
          <w:sz w:val="20"/>
          <w:szCs w:val="20"/>
          <w:lang w:val="pl-PL" w:eastAsia="pl-PL" w:bidi="ar-SA"/>
        </w:rPr>
        <w:t>•</w:t>
      </w:r>
      <w:r>
        <w:rPr>
          <w:rFonts w:ascii="Arial" w:hAnsi="Arial"/>
          <w:sz w:val="20"/>
          <w:szCs w:val="20"/>
          <w:lang w:val="pl-PL" w:eastAsia="pl-PL" w:bidi="ar-SA"/>
        </w:rPr>
        <w:tab/>
        <w:t>Roboty zasypowe ziemne</w:t>
      </w:r>
    </w:p>
    <w:p>
      <w:pPr>
        <w:pStyle w:val="Normal"/>
        <w:numPr>
          <w:ilvl w:val="0"/>
          <w:numId w:val="0"/>
        </w:numPr>
        <w:ind w:hanging="0" w:left="714"/>
        <w:jc w:val="both"/>
        <w:rPr>
          <w:rFonts w:ascii="Arial" w:hAnsi="Arial"/>
          <w:sz w:val="20"/>
          <w:szCs w:val="20"/>
          <w:lang w:val="pl-PL" w:eastAsia="pl-PL" w:bidi="ar-SA"/>
        </w:rPr>
      </w:pPr>
      <w:r>
        <w:rPr>
          <w:rFonts w:ascii="Arial" w:hAnsi="Arial"/>
          <w:sz w:val="20"/>
          <w:szCs w:val="20"/>
          <w:lang w:val="pl-PL" w:eastAsia="pl-PL" w:bidi="ar-SA"/>
        </w:rPr>
        <w:t>•</w:t>
      </w:r>
      <w:r>
        <w:rPr>
          <w:rFonts w:ascii="Arial" w:hAnsi="Arial"/>
          <w:sz w:val="20"/>
          <w:szCs w:val="20"/>
          <w:lang w:val="pl-PL" w:eastAsia="pl-PL" w:bidi="ar-SA"/>
        </w:rPr>
        <w:tab/>
        <w:t>Roboty posadzkowe na gruncie</w:t>
      </w:r>
    </w:p>
    <w:p>
      <w:pPr>
        <w:pStyle w:val="Normal"/>
        <w:numPr>
          <w:ilvl w:val="0"/>
          <w:numId w:val="0"/>
        </w:numPr>
        <w:ind w:hanging="0" w:left="714"/>
        <w:jc w:val="both"/>
        <w:rPr>
          <w:rFonts w:ascii="Arial" w:hAnsi="Arial"/>
          <w:sz w:val="20"/>
          <w:szCs w:val="20"/>
          <w:lang w:val="pl-PL" w:eastAsia="pl-PL" w:bidi="ar-SA"/>
        </w:rPr>
      </w:pPr>
      <w:r>
        <w:rPr>
          <w:rFonts w:ascii="Arial" w:hAnsi="Arial"/>
          <w:sz w:val="20"/>
          <w:szCs w:val="20"/>
          <w:lang w:val="pl-PL" w:eastAsia="pl-PL" w:bidi="ar-SA"/>
        </w:rPr>
        <w:t>•</w:t>
      </w:r>
      <w:r>
        <w:rPr>
          <w:rFonts w:ascii="Arial" w:hAnsi="Arial"/>
          <w:sz w:val="20"/>
          <w:szCs w:val="20"/>
          <w:lang w:val="pl-PL" w:eastAsia="pl-PL" w:bidi="ar-SA"/>
        </w:rPr>
        <w:tab/>
        <w:t>Roboty murowe</w:t>
      </w:r>
    </w:p>
    <w:p>
      <w:pPr>
        <w:pStyle w:val="Normal"/>
        <w:numPr>
          <w:ilvl w:val="0"/>
          <w:numId w:val="0"/>
        </w:numPr>
        <w:ind w:hanging="0" w:left="714"/>
        <w:jc w:val="both"/>
        <w:rPr>
          <w:rFonts w:ascii="Arial" w:hAnsi="Arial"/>
          <w:sz w:val="20"/>
          <w:szCs w:val="20"/>
          <w:lang w:val="pl-PL" w:eastAsia="pl-PL" w:bidi="ar-SA"/>
        </w:rPr>
      </w:pPr>
      <w:r>
        <w:rPr>
          <w:rFonts w:ascii="Arial" w:hAnsi="Arial"/>
          <w:sz w:val="20"/>
          <w:szCs w:val="20"/>
          <w:lang w:val="pl-PL" w:eastAsia="pl-PL" w:bidi="ar-SA"/>
        </w:rPr>
        <w:t>•</w:t>
      </w:r>
      <w:r>
        <w:rPr>
          <w:rFonts w:ascii="Arial" w:hAnsi="Arial"/>
          <w:sz w:val="20"/>
          <w:szCs w:val="20"/>
          <w:lang w:val="pl-PL" w:eastAsia="pl-PL" w:bidi="ar-SA"/>
        </w:rPr>
        <w:tab/>
        <w:t>Roboty tynkarskie</w:t>
      </w:r>
    </w:p>
    <w:p>
      <w:pPr>
        <w:pStyle w:val="Normal"/>
        <w:numPr>
          <w:ilvl w:val="0"/>
          <w:numId w:val="0"/>
        </w:numPr>
        <w:ind w:hanging="0" w:left="714"/>
        <w:jc w:val="both"/>
        <w:rPr>
          <w:rFonts w:ascii="Arial" w:hAnsi="Arial"/>
          <w:sz w:val="20"/>
          <w:szCs w:val="20"/>
          <w:lang w:val="pl-PL" w:eastAsia="pl-PL" w:bidi="ar-SA"/>
        </w:rPr>
      </w:pPr>
      <w:r>
        <w:rPr>
          <w:rFonts w:ascii="Arial" w:hAnsi="Arial"/>
          <w:sz w:val="20"/>
          <w:szCs w:val="20"/>
          <w:lang w:val="pl-PL" w:eastAsia="pl-PL" w:bidi="ar-SA"/>
        </w:rPr>
        <w:t>•</w:t>
      </w:r>
      <w:r>
        <w:rPr>
          <w:rFonts w:ascii="Arial" w:hAnsi="Arial"/>
          <w:sz w:val="20"/>
          <w:szCs w:val="20"/>
          <w:lang w:val="pl-PL" w:eastAsia="pl-PL" w:bidi="ar-SA"/>
        </w:rPr>
        <w:tab/>
        <w:t>Roboty wykończeniowe</w:t>
      </w:r>
    </w:p>
    <w:p>
      <w:pPr>
        <w:pStyle w:val="Normal"/>
        <w:numPr>
          <w:ilvl w:val="0"/>
          <w:numId w:val="0"/>
        </w:numPr>
        <w:ind w:hanging="0" w:left="714"/>
        <w:jc w:val="both"/>
        <w:rPr>
          <w:rFonts w:ascii="Arial" w:hAnsi="Arial"/>
          <w:sz w:val="20"/>
          <w:szCs w:val="20"/>
          <w:lang w:val="pl-PL" w:eastAsia="pl-PL" w:bidi="ar-SA"/>
        </w:rPr>
      </w:pPr>
      <w:r>
        <w:rPr>
          <w:rFonts w:ascii="Arial" w:hAnsi="Arial"/>
          <w:sz w:val="20"/>
          <w:szCs w:val="20"/>
          <w:lang w:val="pl-PL" w:eastAsia="pl-PL" w:bidi="ar-SA"/>
        </w:rPr>
        <w:t>•</w:t>
      </w:r>
      <w:r>
        <w:rPr>
          <w:rFonts w:ascii="Arial" w:hAnsi="Arial"/>
          <w:sz w:val="20"/>
          <w:szCs w:val="20"/>
          <w:lang w:val="pl-PL" w:eastAsia="pl-PL" w:bidi="ar-SA"/>
        </w:rPr>
        <w:tab/>
        <w:t>Montaż stolarki drzwiowej</w:t>
      </w:r>
    </w:p>
    <w:p>
      <w:pPr>
        <w:pStyle w:val="Normal"/>
        <w:numPr>
          <w:ilvl w:val="0"/>
          <w:numId w:val="0"/>
        </w:numPr>
        <w:spacing w:lineRule="auto" w:line="240"/>
        <w:ind w:hanging="0" w:left="714"/>
        <w:jc w:val="both"/>
        <w:rPr>
          <w:rFonts w:ascii="Arial" w:hAnsi="Arial" w:cs="Times New Roman"/>
          <w:sz w:val="20"/>
          <w:szCs w:val="20"/>
          <w:lang w:val="pl-PL"/>
        </w:rPr>
      </w:pPr>
      <w:r>
        <w:rPr>
          <w:rFonts w:cs="Times New Roman" w:ascii="Arial" w:hAnsi="Arial"/>
          <w:sz w:val="20"/>
          <w:szCs w:val="20"/>
          <w:lang w:val="pl-PL"/>
        </w:rPr>
        <w:t>•</w:t>
      </w:r>
      <w:r>
        <w:rPr>
          <w:rFonts w:cs="Times New Roman" w:ascii="Arial" w:hAnsi="Arial"/>
          <w:sz w:val="20"/>
          <w:szCs w:val="20"/>
          <w:lang w:val="pl-PL"/>
        </w:rPr>
        <w:tab/>
        <w:t>Roboty montażowe wewnętrznych instalacji sanitarnych i elektrycznych wraz z agregatem.</w:t>
      </w:r>
    </w:p>
    <w:p>
      <w:pPr>
        <w:pStyle w:val="ListParagraph"/>
        <w:numPr>
          <w:ilvl w:val="0"/>
          <w:numId w:val="8"/>
        </w:numPr>
        <w:spacing w:lineRule="auto" w:line="240" w:before="57" w:after="257"/>
        <w:ind w:hanging="357" w:left="714"/>
        <w:contextualSpacing/>
        <w:jc w:val="both"/>
        <w:rPr>
          <w:sz w:val="20"/>
          <w:szCs w:val="20"/>
        </w:rPr>
      </w:pPr>
      <w:r>
        <w:rPr>
          <w:rFonts w:cs="Times New Roman" w:ascii="Arial" w:hAnsi="Arial"/>
          <w:sz w:val="20"/>
          <w:szCs w:val="20"/>
          <w:lang w:val="pl-PL"/>
        </w:rPr>
        <w:t xml:space="preserve">Przedmiot zamówienia jest </w:t>
      </w:r>
      <w:r>
        <w:rPr>
          <w:rFonts w:cs="Times New Roman" w:ascii="Arial" w:hAnsi="Arial"/>
          <w:b/>
          <w:sz w:val="20"/>
          <w:szCs w:val="20"/>
          <w:lang w:val="pl-PL"/>
        </w:rPr>
        <w:t xml:space="preserve">dofinansowany w ramach Programu Ochrony Ludności i Obrony Cywilnej na lata 2025-2026 dotacją Wojewody Świętokrzyskiego. </w:t>
      </w:r>
    </w:p>
    <w:p>
      <w:pPr>
        <w:pStyle w:val="ListParagraph"/>
        <w:numPr>
          <w:ilvl w:val="0"/>
          <w:numId w:val="8"/>
        </w:numPr>
        <w:spacing w:lineRule="auto" w:line="240" w:before="228" w:after="428"/>
        <w:ind w:hanging="357" w:left="714"/>
        <w:contextualSpacing/>
        <w:jc w:val="both"/>
        <w:rPr>
          <w:sz w:val="20"/>
          <w:szCs w:val="20"/>
        </w:rPr>
      </w:pPr>
      <w:r>
        <w:rPr>
          <w:rFonts w:cs="Times New Roman" w:ascii="Arial" w:hAnsi="Arial"/>
          <w:sz w:val="20"/>
          <w:szCs w:val="20"/>
          <w:lang w:val="pl-PL"/>
        </w:rPr>
        <w:t>Wszystkie roboty, dostawy i usługi objęte zamówieniem muszą pozostawać w funkcjonalnym związku            z przystosowaniem obiektu do funkcji budowli ochronnej o kategorii U-1, w szczególności                                z zapewnieniem dojścia, warunków sanitarnych, wentylacji, odwodnienia, ogrzewania, nośności                       i bezpieczeństwa użytkowania pomieszczeń.</w:t>
      </w:r>
    </w:p>
    <w:p>
      <w:pPr>
        <w:pStyle w:val="ListParagraph"/>
        <w:numPr>
          <w:ilvl w:val="0"/>
          <w:numId w:val="8"/>
        </w:numPr>
        <w:spacing w:lineRule="auto" w:line="240" w:before="114" w:after="314"/>
        <w:ind w:hanging="357" w:left="714"/>
        <w:contextualSpacing/>
        <w:jc w:val="both"/>
        <w:rPr>
          <w:sz w:val="20"/>
          <w:szCs w:val="20"/>
        </w:rPr>
      </w:pPr>
      <w:r>
        <w:rPr>
          <w:rFonts w:cs="Times New Roman" w:ascii="Arial" w:hAnsi="Arial"/>
          <w:sz w:val="20"/>
          <w:szCs w:val="20"/>
          <w:lang w:val="pl-PL"/>
        </w:rPr>
        <w:t>Przedmiot zamówienia opisano w:</w:t>
      </w:r>
    </w:p>
    <w:p>
      <w:pPr>
        <w:pStyle w:val="ListParagraph"/>
        <w:numPr>
          <w:ilvl w:val="0"/>
          <w:numId w:val="32"/>
        </w:numPr>
        <w:spacing w:lineRule="auto" w:line="240" w:before="0" w:after="0"/>
        <w:ind w:hanging="283" w:left="709"/>
        <w:contextualSpacing w:val="false"/>
        <w:jc w:val="both"/>
        <w:rPr>
          <w:sz w:val="20"/>
          <w:szCs w:val="20"/>
        </w:rPr>
      </w:pPr>
      <w:r>
        <w:rPr>
          <w:rFonts w:cs="Times New Roman" w:ascii="Arial" w:hAnsi="Arial"/>
          <w:sz w:val="20"/>
          <w:szCs w:val="20"/>
          <w:lang w:val="pl-PL"/>
        </w:rPr>
        <w:t>dokumentacji projektowej, która stanowi załącznik do Zaproszenia zawierającej:</w:t>
      </w:r>
    </w:p>
    <w:p>
      <w:pPr>
        <w:pStyle w:val="ListParagraph"/>
        <w:numPr>
          <w:ilvl w:val="0"/>
          <w:numId w:val="31"/>
        </w:numPr>
        <w:spacing w:lineRule="auto" w:line="240" w:before="0" w:after="0"/>
        <w:contextualSpacing w:val="false"/>
        <w:jc w:val="both"/>
        <w:rPr>
          <w:sz w:val="20"/>
          <w:szCs w:val="20"/>
        </w:rPr>
      </w:pPr>
      <w:r>
        <w:rPr>
          <w:rFonts w:cs="Times New Roman" w:ascii="Arial" w:hAnsi="Arial"/>
          <w:sz w:val="20"/>
          <w:szCs w:val="20"/>
          <w:lang w:val="pl-PL" w:eastAsia="pl-PL"/>
        </w:rPr>
        <w:t xml:space="preserve">projekt budowlany, </w:t>
      </w:r>
    </w:p>
    <w:p>
      <w:pPr>
        <w:pStyle w:val="ListParagraph"/>
        <w:numPr>
          <w:ilvl w:val="0"/>
          <w:numId w:val="31"/>
        </w:numPr>
        <w:spacing w:lineRule="auto" w:line="240" w:before="0" w:after="0"/>
        <w:contextualSpacing w:val="false"/>
        <w:jc w:val="both"/>
        <w:rPr>
          <w:sz w:val="20"/>
          <w:szCs w:val="20"/>
        </w:rPr>
      </w:pPr>
      <w:r>
        <w:rPr>
          <w:rFonts w:cs="Times New Roman" w:ascii="Arial" w:hAnsi="Arial"/>
          <w:sz w:val="20"/>
          <w:szCs w:val="20"/>
          <w:lang w:val="pl-PL"/>
        </w:rPr>
        <w:t>specyfikacje techniczną wykonania i odbioru robót budowlanych</w:t>
      </w:r>
    </w:p>
    <w:p>
      <w:pPr>
        <w:pStyle w:val="ListParagraph"/>
        <w:numPr>
          <w:ilvl w:val="0"/>
          <w:numId w:val="32"/>
        </w:numPr>
        <w:spacing w:lineRule="auto" w:line="240" w:before="0" w:after="0"/>
        <w:ind w:hanging="283" w:left="709"/>
        <w:contextualSpacing w:val="false"/>
        <w:jc w:val="both"/>
        <w:rPr>
          <w:sz w:val="20"/>
          <w:szCs w:val="20"/>
        </w:rPr>
      </w:pPr>
      <w:r>
        <w:rPr>
          <w:rFonts w:cs="Times New Roman" w:ascii="Arial" w:hAnsi="Arial"/>
          <w:sz w:val="20"/>
          <w:szCs w:val="20"/>
          <w:lang w:val="pl-PL"/>
        </w:rPr>
        <w:t>przedmiarze robót, który stanowi załącznik do SWZ.</w:t>
      </w:r>
    </w:p>
    <w:p>
      <w:pPr>
        <w:pStyle w:val="ListParagraph"/>
        <w:spacing w:lineRule="auto" w:line="240"/>
        <w:ind w:left="714"/>
        <w:jc w:val="both"/>
        <w:rPr>
          <w:sz w:val="20"/>
          <w:szCs w:val="20"/>
        </w:rPr>
      </w:pPr>
      <w:r>
        <w:rPr>
          <w:rFonts w:cs="Times New Roman" w:ascii="Arial" w:hAnsi="Arial"/>
          <w:sz w:val="20"/>
          <w:szCs w:val="20"/>
          <w:lang w:val="pl-PL"/>
        </w:rPr>
        <w:t xml:space="preserve">oraz we wzorze umowy stanowiącym załącznik nr 2 do Zaproszenia. </w:t>
      </w:r>
    </w:p>
    <w:p>
      <w:pPr>
        <w:pStyle w:val="ListParagraph"/>
        <w:spacing w:lineRule="auto" w:line="240"/>
        <w:ind w:left="714"/>
        <w:jc w:val="both"/>
        <w:rPr>
          <w:sz w:val="20"/>
          <w:szCs w:val="20"/>
        </w:rPr>
      </w:pPr>
      <w:r>
        <w:rPr>
          <w:rFonts w:cs="Times New Roman" w:ascii="Arial" w:hAnsi="Arial"/>
          <w:sz w:val="20"/>
          <w:szCs w:val="20"/>
          <w:lang w:val="pl-PL"/>
        </w:rPr>
        <w:t>Załączone do Zapytania przedmiary mają jedynie charakter informacyjny. Wykonawca po zapoznaniu się z dokumentacją projektową i innymi dokumentami jest zobowiązany do ustalenia zakresu robót niezbędnych do osiągnięcia rezultatu.</w:t>
      </w:r>
    </w:p>
    <w:p>
      <w:pPr>
        <w:pStyle w:val="Heading1"/>
        <w:spacing w:before="120" w:after="60"/>
        <w:rPr>
          <w:rFonts w:ascii="Arial" w:hAnsi="Arial"/>
          <w:sz w:val="22"/>
          <w:szCs w:val="22"/>
        </w:rPr>
      </w:pPr>
      <w:r>
        <w:rPr>
          <w:rFonts w:cs="Times New Roman" w:ascii="Arial" w:hAnsi="Arial"/>
          <w:color w:val="auto"/>
          <w:sz w:val="22"/>
          <w:szCs w:val="22"/>
          <w:lang w:val="pl-PL"/>
        </w:rPr>
        <w:t>IV. WARUNKI UDZIAŁU W POSTĘPOWANIU</w:t>
      </w:r>
    </w:p>
    <w:p>
      <w:pPr>
        <w:pStyle w:val="ListParagraph"/>
        <w:numPr>
          <w:ilvl w:val="0"/>
          <w:numId w:val="10"/>
        </w:numPr>
        <w:spacing w:lineRule="auto" w:line="240" w:before="120" w:after="120"/>
        <w:ind w:hanging="357" w:left="720"/>
        <w:contextualSpacing/>
        <w:jc w:val="both"/>
        <w:rPr>
          <w:sz w:val="20"/>
          <w:szCs w:val="20"/>
        </w:rPr>
      </w:pPr>
      <w:r>
        <w:rPr>
          <w:rFonts w:cs="Times New Roman" w:ascii="Arial" w:hAnsi="Arial"/>
          <w:sz w:val="20"/>
          <w:szCs w:val="20"/>
          <w:lang w:val="pl-PL"/>
        </w:rPr>
        <w:t>O udzielenie zamówienia mogą ubiegać się Wykonawcy, którzy spełniają niżej wskazane warunki udziału w postępowaniu:</w:t>
      </w:r>
    </w:p>
    <w:p>
      <w:pPr>
        <w:pStyle w:val="ListParagraph"/>
        <w:numPr>
          <w:ilvl w:val="1"/>
          <w:numId w:val="11"/>
        </w:numPr>
        <w:spacing w:lineRule="auto" w:line="240" w:before="120" w:after="120"/>
        <w:ind w:hanging="357" w:left="1440"/>
        <w:contextualSpacing/>
        <w:jc w:val="both"/>
        <w:rPr>
          <w:sz w:val="20"/>
          <w:szCs w:val="20"/>
        </w:rPr>
      </w:pPr>
      <w:r>
        <w:rPr>
          <w:rFonts w:cs="Times New Roman" w:ascii="Arial" w:hAnsi="Arial"/>
          <w:sz w:val="20"/>
          <w:szCs w:val="20"/>
          <w:lang w:val="pl-PL"/>
        </w:rPr>
        <w:t xml:space="preserve">w zakresie doświadczenia: w okresie ostatnich 5 lat przed upływem terminu składania ofert wykonali należycie </w:t>
      </w:r>
      <w:r>
        <w:rPr>
          <w:rFonts w:cs="Times New Roman" w:ascii="Arial" w:hAnsi="Arial"/>
          <w:b/>
          <w:sz w:val="20"/>
          <w:szCs w:val="20"/>
          <w:lang w:val="pl-PL"/>
        </w:rPr>
        <w:t>minimum jedną robotę budowlaną</w:t>
      </w:r>
      <w:r>
        <w:rPr>
          <w:rFonts w:cs="Times New Roman" w:ascii="Arial" w:hAnsi="Arial"/>
          <w:sz w:val="20"/>
          <w:szCs w:val="20"/>
          <w:lang w:val="pl-PL"/>
        </w:rPr>
        <w:t xml:space="preserve"> polegającą na </w:t>
      </w:r>
      <w:r>
        <w:rPr>
          <w:rFonts w:cs="Times New Roman" w:ascii="Arial" w:hAnsi="Arial"/>
          <w:b/>
          <w:sz w:val="20"/>
          <w:szCs w:val="20"/>
          <w:lang w:val="pl-PL"/>
        </w:rPr>
        <w:t xml:space="preserve">budowie lub przebudowie lub rozbudowie lub remoncie budynku, </w:t>
      </w:r>
      <w:r>
        <w:rPr>
          <w:rFonts w:cs="Times New Roman" w:ascii="Arial" w:hAnsi="Arial"/>
          <w:b w:val="false"/>
          <w:bCs w:val="false"/>
          <w:sz w:val="20"/>
          <w:szCs w:val="20"/>
          <w:lang w:val="pl-PL"/>
        </w:rPr>
        <w:t>zrealizowaną w ramach jednej umowy/kontraktu</w:t>
      </w:r>
      <w:r>
        <w:rPr>
          <w:rFonts w:cs="Times New Roman" w:ascii="Arial" w:hAnsi="Arial"/>
          <w:b/>
          <w:sz w:val="20"/>
          <w:szCs w:val="20"/>
          <w:lang w:val="pl-PL"/>
        </w:rPr>
        <w:t>,</w:t>
      </w:r>
      <w:r>
        <w:rPr>
          <w:rFonts w:cs="Times New Roman" w:ascii="Arial" w:hAnsi="Arial"/>
          <w:sz w:val="20"/>
          <w:szCs w:val="20"/>
          <w:lang w:val="pl-PL"/>
        </w:rPr>
        <w:t xml:space="preserve"> o wartości nie mniejszej niż </w:t>
      </w:r>
      <w:r>
        <w:rPr>
          <w:rFonts w:cs="Times New Roman" w:ascii="Arial" w:hAnsi="Arial"/>
          <w:b/>
          <w:bCs/>
          <w:sz w:val="20"/>
          <w:szCs w:val="20"/>
          <w:lang w:val="pl-PL"/>
        </w:rPr>
        <w:t>2 000 000,00 zł brutto;</w:t>
      </w:r>
    </w:p>
    <w:p>
      <w:pPr>
        <w:pStyle w:val="ListParagraph"/>
        <w:numPr>
          <w:ilvl w:val="1"/>
          <w:numId w:val="11"/>
        </w:numPr>
        <w:spacing w:lineRule="auto" w:line="240" w:before="120" w:after="120"/>
        <w:ind w:hanging="357" w:left="1440"/>
        <w:contextualSpacing/>
        <w:jc w:val="both"/>
        <w:rPr>
          <w:sz w:val="20"/>
          <w:szCs w:val="20"/>
        </w:rPr>
      </w:pPr>
      <w:r>
        <w:rPr>
          <w:rFonts w:cs="Times New Roman" w:ascii="Arial" w:hAnsi="Arial"/>
          <w:sz w:val="20"/>
          <w:szCs w:val="20"/>
          <w:lang w:val="pl-PL"/>
        </w:rPr>
        <w:t xml:space="preserve">w zakresie osób skierowanych do realizacji zamówienia: dysponują kierownikiem budowy posiadającym uprawnienia budowlane do kierowania robotami w specjalności konstrukcyjno-budowlanej i doświadczenie w pełnieniu funkcji kierownika budowy lub kierownika robót na co najmniej jednej zakończonej inwestycji związanej z </w:t>
      </w:r>
      <w:r>
        <w:rPr>
          <w:rFonts w:cs="Times New Roman" w:ascii="Arial" w:hAnsi="Arial"/>
          <w:b/>
          <w:sz w:val="20"/>
          <w:szCs w:val="20"/>
          <w:lang w:val="pl-PL"/>
        </w:rPr>
        <w:t>budową lub przebudową lub rozbudową lub remontem budynku</w:t>
      </w:r>
      <w:r>
        <w:rPr>
          <w:rFonts w:cs="Times New Roman" w:ascii="Arial" w:hAnsi="Arial"/>
          <w:sz w:val="20"/>
          <w:szCs w:val="20"/>
          <w:lang w:val="pl-PL"/>
        </w:rPr>
        <w:t>, zrealizowanej w ramach jednej umowy/kontraktu.</w:t>
      </w:r>
    </w:p>
    <w:p>
      <w:pPr>
        <w:pStyle w:val="ListParagraph"/>
        <w:numPr>
          <w:ilvl w:val="0"/>
          <w:numId w:val="10"/>
        </w:numPr>
        <w:spacing w:lineRule="auto" w:line="240" w:before="120" w:after="120"/>
        <w:ind w:hanging="357" w:left="720"/>
        <w:contextualSpacing/>
        <w:jc w:val="both"/>
        <w:rPr>
          <w:sz w:val="20"/>
          <w:szCs w:val="20"/>
        </w:rPr>
      </w:pPr>
      <w:r>
        <w:rPr>
          <w:rFonts w:cs="Times New Roman" w:ascii="Arial" w:hAnsi="Arial"/>
          <w:sz w:val="20"/>
          <w:szCs w:val="20"/>
          <w:lang w:val="pl-PL"/>
        </w:rPr>
        <w:t xml:space="preserve">Wykonawca potwierdza spełnianie warunków udziału w postępowaniu przez złożenie oświadczenia stanowiącego załącznik nr </w:t>
      </w:r>
      <w:bookmarkStart w:id="1" w:name="_GoBack"/>
      <w:bookmarkEnd w:id="1"/>
      <w:r>
        <w:rPr>
          <w:rFonts w:cs="Times New Roman" w:ascii="Arial" w:hAnsi="Arial"/>
          <w:sz w:val="20"/>
          <w:szCs w:val="20"/>
          <w:lang w:val="pl-PL"/>
        </w:rPr>
        <w:t>3 do Zaproszenia. Zamawiający może na każdym etapie postępowania wezwać Wykonawcę do złożenia, uzupełnienia lub wyjaśnienia dokumentów potwierdzających spełnianie warunków udziału.</w:t>
      </w:r>
    </w:p>
    <w:p>
      <w:pPr>
        <w:pStyle w:val="Heading1"/>
        <w:spacing w:before="120" w:after="60"/>
        <w:rPr>
          <w:rFonts w:ascii="Arial" w:hAnsi="Arial"/>
          <w:sz w:val="22"/>
          <w:szCs w:val="22"/>
        </w:rPr>
      </w:pPr>
      <w:r>
        <w:rPr>
          <w:rFonts w:cs="Times New Roman" w:ascii="Arial" w:hAnsi="Arial"/>
          <w:color w:val="auto"/>
          <w:sz w:val="22"/>
          <w:szCs w:val="22"/>
          <w:lang w:val="pl-PL"/>
        </w:rPr>
        <w:t>V. PODSTAWY WYKLUCZENIA</w:t>
      </w:r>
    </w:p>
    <w:p>
      <w:pPr>
        <w:pStyle w:val="ListParagraph"/>
        <w:numPr>
          <w:ilvl w:val="0"/>
          <w:numId w:val="12"/>
        </w:numPr>
        <w:spacing w:lineRule="auto" w:line="240"/>
        <w:ind w:hanging="357" w:left="714"/>
        <w:jc w:val="both"/>
        <w:rPr>
          <w:sz w:val="20"/>
          <w:szCs w:val="20"/>
        </w:rPr>
      </w:pPr>
      <w:r>
        <w:rPr>
          <w:rFonts w:cs="Times New Roman" w:ascii="Arial" w:hAnsi="Arial"/>
          <w:sz w:val="20"/>
          <w:szCs w:val="20"/>
          <w:lang w:val="pl-PL"/>
        </w:rPr>
        <w:t>Z postępowania wyklucza się Wykonawcę, wobec którego zachodzą przesłanki wykluczenia wskazane w Zaproszeniu lub w załączniku nr 3, w szczególności dotyczące prawomocnego skazania za przestępstwa związane z praniem pieniędzy, finansowaniem terroryzmu, utrudnianiem stwierdzenia przestępczego pochodzenia pieniędzy, przestępstwa przeciwko obrotowi gospodarczemu, przestępstwa przeciwko wiarygodności dokumentów, przekupstwa, korupcji albo inne przesłanki wskazane przez Zamawiającego.</w:t>
      </w:r>
    </w:p>
    <w:p>
      <w:pPr>
        <w:pStyle w:val="ListParagraph"/>
        <w:numPr>
          <w:ilvl w:val="0"/>
          <w:numId w:val="12"/>
        </w:numPr>
        <w:spacing w:lineRule="auto" w:line="240"/>
        <w:ind w:hanging="357" w:left="714"/>
        <w:jc w:val="both"/>
        <w:rPr>
          <w:sz w:val="20"/>
          <w:szCs w:val="20"/>
        </w:rPr>
      </w:pPr>
      <w:r>
        <w:rPr>
          <w:rFonts w:cs="Times New Roman" w:ascii="Arial" w:hAnsi="Arial"/>
          <w:sz w:val="20"/>
          <w:szCs w:val="20"/>
          <w:lang w:val="pl-PL"/>
        </w:rPr>
        <w:t>Z postępowania wyklucza się także Wykonawców, wobec których zachodzi którakolwiek z okoliczności wskazanych w art. 7 ust. 1 ustawy z dnia 13 kwietnia 2022 r. o szczególnych rozwiązaniach w zakresie przeciwdziałania wspieraniu agresji na Ukrainę oraz służących ochronie bezpieczeństwa narodowego, na czas trwania tych okoliczności.</w:t>
      </w:r>
    </w:p>
    <w:p>
      <w:pPr>
        <w:pStyle w:val="ListParagraph"/>
        <w:numPr>
          <w:ilvl w:val="0"/>
          <w:numId w:val="12"/>
        </w:numPr>
        <w:spacing w:lineRule="auto" w:line="240"/>
        <w:ind w:hanging="357" w:left="714"/>
        <w:jc w:val="both"/>
        <w:rPr>
          <w:sz w:val="20"/>
          <w:szCs w:val="20"/>
        </w:rPr>
      </w:pPr>
      <w:r>
        <w:rPr>
          <w:rFonts w:cs="Times New Roman" w:ascii="Arial" w:hAnsi="Arial"/>
          <w:sz w:val="20"/>
          <w:szCs w:val="20"/>
          <w:lang w:val="pl-PL"/>
        </w:rPr>
        <w:t>Zamawiający może dopuścić wyjaśnienie okoliczności związanych z podstawami wykluczenia oraz złożenie dokumentów potwierdzających brak podstaw wykluczenia. Brak złożenia wyjaśnień lub dokumentów w terminie wyznaczonym przez Zamawiającego może skutkować wykluczeniem Wykonawcy lub odrzuceniem oferty.</w:t>
      </w:r>
    </w:p>
    <w:p>
      <w:pPr>
        <w:pStyle w:val="Heading1"/>
        <w:spacing w:before="120" w:after="60"/>
        <w:rPr>
          <w:rFonts w:ascii="Arial" w:hAnsi="Arial"/>
          <w:sz w:val="22"/>
          <w:szCs w:val="22"/>
        </w:rPr>
      </w:pPr>
      <w:r>
        <w:rPr>
          <w:rFonts w:cs="Times New Roman" w:ascii="Arial" w:hAnsi="Arial"/>
          <w:color w:val="auto"/>
          <w:sz w:val="22"/>
          <w:szCs w:val="22"/>
          <w:lang w:val="pl-PL"/>
        </w:rPr>
        <w:t>VI. PODMIOTOWE ŚRODKI DOWODOWE</w:t>
      </w:r>
    </w:p>
    <w:p>
      <w:pPr>
        <w:pStyle w:val="ListParagraph"/>
        <w:numPr>
          <w:ilvl w:val="0"/>
          <w:numId w:val="13"/>
        </w:numPr>
        <w:spacing w:lineRule="auto" w:line="240"/>
        <w:ind w:hanging="357" w:left="720"/>
        <w:jc w:val="both"/>
        <w:rPr>
          <w:sz w:val="20"/>
          <w:szCs w:val="20"/>
        </w:rPr>
      </w:pPr>
      <w:r>
        <w:rPr>
          <w:rFonts w:cs="Times New Roman" w:ascii="Arial" w:hAnsi="Arial"/>
          <w:sz w:val="20"/>
          <w:szCs w:val="20"/>
          <w:lang w:val="pl-PL"/>
        </w:rPr>
        <w:t>Wraz z ofertą Wykonawca składa oświadczenie o spełnianiu warunków udziału w postępowaniu i braku podstaw wykluczenia, według załącznika nr 3.</w:t>
      </w:r>
    </w:p>
    <w:p>
      <w:pPr>
        <w:pStyle w:val="ListParagraph"/>
        <w:numPr>
          <w:ilvl w:val="0"/>
          <w:numId w:val="13"/>
        </w:numPr>
        <w:spacing w:lineRule="auto" w:line="240"/>
        <w:ind w:hanging="357" w:left="720"/>
        <w:jc w:val="both"/>
        <w:rPr>
          <w:sz w:val="20"/>
          <w:szCs w:val="20"/>
        </w:rPr>
      </w:pPr>
      <w:r>
        <w:rPr>
          <w:rFonts w:cs="Times New Roman" w:ascii="Arial" w:hAnsi="Arial"/>
          <w:sz w:val="20"/>
          <w:szCs w:val="20"/>
          <w:lang w:val="pl-PL"/>
        </w:rPr>
        <w:t xml:space="preserve">Wykonawca, którego oferta zostanie najwyżej oceniona, </w:t>
      </w:r>
      <w:r>
        <w:rPr>
          <w:rFonts w:cs="Times New Roman" w:ascii="Arial" w:hAnsi="Arial"/>
          <w:b/>
          <w:bCs/>
          <w:sz w:val="20"/>
          <w:szCs w:val="20"/>
          <w:lang w:val="pl-PL"/>
        </w:rPr>
        <w:t>na wezwanie</w:t>
      </w:r>
      <w:r>
        <w:rPr>
          <w:rFonts w:cs="Times New Roman" w:ascii="Arial" w:hAnsi="Arial"/>
          <w:sz w:val="20"/>
          <w:szCs w:val="20"/>
          <w:lang w:val="pl-PL"/>
        </w:rPr>
        <w:t xml:space="preserve"> Zamawiającego w terminie nie krótszym niż 2 dni od dnia wezwania, składa podmiotowe środki dowodowe, w szczególności:</w:t>
      </w:r>
    </w:p>
    <w:p>
      <w:pPr>
        <w:pStyle w:val="ListParagraph"/>
        <w:numPr>
          <w:ilvl w:val="1"/>
          <w:numId w:val="14"/>
        </w:numPr>
        <w:spacing w:lineRule="auto" w:line="240"/>
        <w:ind w:hanging="357" w:left="1440"/>
        <w:jc w:val="both"/>
        <w:rPr>
          <w:sz w:val="20"/>
          <w:szCs w:val="20"/>
        </w:rPr>
      </w:pPr>
      <w:r>
        <w:rPr>
          <w:rFonts w:cs="Times New Roman" w:ascii="Arial" w:hAnsi="Arial"/>
          <w:sz w:val="20"/>
          <w:szCs w:val="20"/>
          <w:lang w:val="pl-PL"/>
        </w:rPr>
        <w:t>wykaz robót budowlanych potwierdzający spełnianie warunku doświadczenia wraz z dowodami określającymi, czy roboty zostały wykonane należycie;</w:t>
      </w:r>
    </w:p>
    <w:p>
      <w:pPr>
        <w:pStyle w:val="ListParagraph"/>
        <w:numPr>
          <w:ilvl w:val="1"/>
          <w:numId w:val="14"/>
        </w:numPr>
        <w:spacing w:lineRule="auto" w:line="240"/>
        <w:ind w:hanging="357" w:left="1440"/>
        <w:jc w:val="both"/>
        <w:rPr>
          <w:sz w:val="20"/>
          <w:szCs w:val="20"/>
        </w:rPr>
      </w:pPr>
      <w:r>
        <w:rPr>
          <w:rFonts w:cs="Times New Roman" w:ascii="Arial" w:hAnsi="Arial"/>
          <w:sz w:val="20"/>
          <w:szCs w:val="20"/>
          <w:lang w:val="pl-PL"/>
        </w:rPr>
        <w:t>wykaz osób skierowanych do realizacji zamówienia, wraz z informacją o kwalifikacjach zawodowych, uprawnieniach, doświadczeniu i podstawie dysponowania tymi osobami;</w:t>
      </w:r>
    </w:p>
    <w:p>
      <w:pPr>
        <w:pStyle w:val="ListParagraph"/>
        <w:numPr>
          <w:ilvl w:val="1"/>
          <w:numId w:val="14"/>
        </w:numPr>
        <w:spacing w:lineRule="auto" w:line="240"/>
        <w:ind w:hanging="357" w:left="1440"/>
        <w:jc w:val="both"/>
        <w:rPr>
          <w:sz w:val="20"/>
          <w:szCs w:val="20"/>
        </w:rPr>
      </w:pPr>
      <w:r>
        <w:rPr>
          <w:rFonts w:cs="Times New Roman" w:ascii="Arial" w:hAnsi="Arial"/>
          <w:sz w:val="20"/>
          <w:szCs w:val="20"/>
          <w:lang w:val="pl-PL"/>
        </w:rPr>
        <w:t>dokumenty lub oświadczenia potwierdzające brak podstaw wykluczenia, jeżeli Zamawiający zażąda ich złożenia.</w:t>
      </w:r>
    </w:p>
    <w:p>
      <w:pPr>
        <w:pStyle w:val="ListParagraph"/>
        <w:numPr>
          <w:ilvl w:val="0"/>
          <w:numId w:val="13"/>
        </w:numPr>
        <w:spacing w:lineRule="auto" w:line="240"/>
        <w:ind w:hanging="357" w:left="720"/>
        <w:jc w:val="both"/>
        <w:rPr>
          <w:sz w:val="20"/>
          <w:szCs w:val="20"/>
        </w:rPr>
      </w:pPr>
      <w:r>
        <w:rPr>
          <w:rFonts w:cs="Times New Roman" w:ascii="Arial" w:hAnsi="Arial"/>
          <w:sz w:val="20"/>
          <w:szCs w:val="20"/>
          <w:lang w:val="pl-PL"/>
        </w:rPr>
        <w:t>Zamawiający może wezwać do złożenia, poprawienia, uzupełnienia lub wyjaśnienia podmiotowych środków dowodowych, jeżeli nie zostały złożone, są niekompletne, zawierają błędy lub budzą wątpliwości. Uzupełnienie nie może prowadzić do zmiany treści oferty w zakresie kryteriów oceny ofert.</w:t>
      </w:r>
    </w:p>
    <w:p>
      <w:pPr>
        <w:pStyle w:val="Heading1"/>
        <w:spacing w:before="120" w:after="60"/>
        <w:rPr>
          <w:rFonts w:ascii="Arial" w:hAnsi="Arial"/>
          <w:sz w:val="22"/>
          <w:szCs w:val="22"/>
        </w:rPr>
      </w:pPr>
      <w:r>
        <w:rPr>
          <w:rFonts w:cs="Times New Roman" w:ascii="Arial" w:hAnsi="Arial"/>
          <w:color w:val="000000"/>
          <w:sz w:val="22"/>
          <w:szCs w:val="22"/>
          <w:lang w:val="pl-PL"/>
        </w:rPr>
        <w:t>VII. PRZEDMIOTOWE ŚRODKI DOWODOWE I WYJAŚNIENIA TREŚCI OFERTY</w:t>
      </w:r>
    </w:p>
    <w:p>
      <w:pPr>
        <w:pStyle w:val="ListParagraph"/>
        <w:numPr>
          <w:ilvl w:val="0"/>
          <w:numId w:val="15"/>
        </w:numPr>
        <w:spacing w:lineRule="auto" w:line="276"/>
        <w:ind w:hanging="357" w:left="714"/>
        <w:jc w:val="both"/>
        <w:rPr>
          <w:sz w:val="20"/>
          <w:szCs w:val="20"/>
        </w:rPr>
      </w:pPr>
      <w:r>
        <w:rPr>
          <w:rFonts w:cs="Times New Roman" w:ascii="Arial" w:hAnsi="Arial"/>
          <w:sz w:val="20"/>
          <w:szCs w:val="20"/>
          <w:lang w:val="pl-PL"/>
        </w:rPr>
        <w:t>Zamawiający wymaga, aby Wykonawca potwierdził w formularzu oferty, że zaoferowany przedmiot zamówienia jest zgodny z Zaproszeniem, załącznikiem nr 7 oraz wzorem umowy.</w:t>
      </w:r>
    </w:p>
    <w:p>
      <w:pPr>
        <w:pStyle w:val="ListParagraph"/>
        <w:numPr>
          <w:ilvl w:val="0"/>
          <w:numId w:val="15"/>
        </w:numPr>
        <w:spacing w:lineRule="auto" w:line="276"/>
        <w:ind w:hanging="357" w:left="714"/>
        <w:jc w:val="both"/>
        <w:rPr>
          <w:sz w:val="20"/>
          <w:szCs w:val="20"/>
        </w:rPr>
      </w:pPr>
      <w:r>
        <w:rPr>
          <w:rFonts w:cs="Times New Roman" w:ascii="Arial" w:hAnsi="Arial"/>
          <w:sz w:val="20"/>
          <w:szCs w:val="20"/>
          <w:lang w:val="pl-PL"/>
        </w:rPr>
        <w:t>Zamawiający może żądać od Wykonawcy złożenia wyjaśnień dotyczących treści oferty, w tym sposobu kalkulacji ceny, proponowanych rozwiązań technicznych, harmonogramu, zgodności z zakresem rzeczowym oraz zgodności z wymaganiami dla budowli ochronnej o kategorii U-1.</w:t>
      </w:r>
    </w:p>
    <w:p>
      <w:pPr>
        <w:pStyle w:val="ListParagraph"/>
        <w:numPr>
          <w:ilvl w:val="0"/>
          <w:numId w:val="15"/>
        </w:numPr>
        <w:spacing w:lineRule="auto" w:line="276"/>
        <w:ind w:hanging="357" w:left="714"/>
        <w:jc w:val="both"/>
        <w:rPr>
          <w:sz w:val="20"/>
          <w:szCs w:val="20"/>
        </w:rPr>
      </w:pPr>
      <w:r>
        <w:rPr>
          <w:rFonts w:cs="Times New Roman" w:ascii="Arial" w:hAnsi="Arial"/>
          <w:sz w:val="20"/>
          <w:szCs w:val="20"/>
          <w:lang w:val="pl-PL"/>
        </w:rPr>
        <w:t>Jeżeli dokumenty lub informacje składane jako przedmiotowe środki dowodowe nie zostaną złożone, są niekompletne lub budzą wątpliwości, Zamawiający może wezwać do ich złożenia, uzupełnienia lub wyjaśnienia, o ile nie prowadzi to do niedopuszczalnej zmiany treści oferty.</w:t>
      </w:r>
    </w:p>
    <w:p>
      <w:pPr>
        <w:pStyle w:val="ListParagraph"/>
        <w:numPr>
          <w:ilvl w:val="0"/>
          <w:numId w:val="15"/>
        </w:numPr>
        <w:spacing w:lineRule="auto" w:line="276"/>
        <w:ind w:hanging="357" w:left="714"/>
        <w:jc w:val="both"/>
        <w:rPr>
          <w:sz w:val="20"/>
          <w:szCs w:val="20"/>
        </w:rPr>
      </w:pPr>
      <w:r>
        <w:rPr>
          <w:rFonts w:cs="Times New Roman" w:ascii="Arial" w:hAnsi="Arial"/>
          <w:sz w:val="20"/>
          <w:szCs w:val="20"/>
          <w:lang w:val="pl-PL"/>
        </w:rPr>
        <w:t>Oferta podlega odrzuceniu, jeżeli jej treść jest niezgodna z warunkami Zaproszenia, a niezgodność nie może zostać usunięta przez wyjaśnienie lub poprawienie oczywistej omyłki.</w:t>
      </w:r>
    </w:p>
    <w:p>
      <w:pPr>
        <w:pStyle w:val="Heading1"/>
        <w:spacing w:before="120" w:after="60"/>
        <w:rPr>
          <w:rFonts w:ascii="Arial" w:hAnsi="Arial"/>
          <w:sz w:val="22"/>
          <w:szCs w:val="22"/>
        </w:rPr>
      </w:pPr>
      <w:r>
        <w:rPr>
          <w:rFonts w:cs="Times New Roman" w:ascii="Arial" w:hAnsi="Arial"/>
          <w:color w:val="auto"/>
          <w:sz w:val="22"/>
          <w:szCs w:val="22"/>
          <w:lang w:val="pl-PL"/>
        </w:rPr>
        <w:t>VIII. WYKONAWCY WSPÓLNIE UBIEGAJĄCY SIĘ O UDZIELENIE ZAMÓWIENIA</w:t>
      </w:r>
    </w:p>
    <w:p>
      <w:pPr>
        <w:pStyle w:val="ListParagraph"/>
        <w:numPr>
          <w:ilvl w:val="0"/>
          <w:numId w:val="16"/>
        </w:numPr>
        <w:jc w:val="both"/>
        <w:rPr>
          <w:sz w:val="20"/>
          <w:szCs w:val="20"/>
        </w:rPr>
      </w:pPr>
      <w:r>
        <w:rPr>
          <w:rFonts w:cs="Times New Roman" w:ascii="Arial" w:hAnsi="Arial"/>
          <w:sz w:val="20"/>
          <w:szCs w:val="20"/>
          <w:lang w:val="pl-PL"/>
        </w:rPr>
        <w:t>Wykonawcy mogą wspólnie ubiegać się o udzielenie zamówienia. W takim przypadku ustanawiają pełnomocnika do reprezentowania ich w postępowaniu albo do reprezentowania w postępowaniu                  i zawarcia umowy.</w:t>
      </w:r>
    </w:p>
    <w:p>
      <w:pPr>
        <w:pStyle w:val="ListParagraph"/>
        <w:numPr>
          <w:ilvl w:val="0"/>
          <w:numId w:val="16"/>
        </w:numPr>
        <w:jc w:val="both"/>
        <w:rPr>
          <w:sz w:val="20"/>
          <w:szCs w:val="20"/>
        </w:rPr>
      </w:pPr>
      <w:r>
        <w:rPr>
          <w:rFonts w:cs="Times New Roman" w:ascii="Arial" w:hAnsi="Arial"/>
          <w:sz w:val="20"/>
          <w:szCs w:val="20"/>
          <w:lang w:val="pl-PL"/>
        </w:rPr>
        <w:t>Wykonawcy wspólnie ubiegający się o zamówienie składają wraz z ofertą pełnomocnictwo oraz oświadczenie stanowiące załącznik nr 5, z którego wynika, które roboty, dostawy lub usługi wykonają poszczególni Wykonawcy.</w:t>
      </w:r>
    </w:p>
    <w:p>
      <w:pPr>
        <w:pStyle w:val="ListParagraph"/>
        <w:numPr>
          <w:ilvl w:val="0"/>
          <w:numId w:val="16"/>
        </w:numPr>
        <w:jc w:val="both"/>
        <w:rPr>
          <w:sz w:val="20"/>
          <w:szCs w:val="20"/>
        </w:rPr>
      </w:pPr>
      <w:r>
        <w:rPr>
          <w:rFonts w:cs="Times New Roman" w:ascii="Arial" w:hAnsi="Arial"/>
          <w:sz w:val="20"/>
          <w:szCs w:val="20"/>
          <w:lang w:val="pl-PL"/>
        </w:rPr>
        <w:t>Oświadczenie o braku podstaw wykluczenia składa każdy z Wykonawców wspólnie ubiegających się             o zamówienie. Warunki udziału mogą być spełniane łącznie, o ile z Zaproszenia nie wynika inaczej i o ile Wykonawca, który wykazuje dany warunek, wykona odpowiedni zakres zamówienia.</w:t>
      </w:r>
    </w:p>
    <w:p>
      <w:pPr>
        <w:pStyle w:val="ListParagraph"/>
        <w:numPr>
          <w:ilvl w:val="0"/>
          <w:numId w:val="16"/>
        </w:numPr>
        <w:jc w:val="both"/>
        <w:rPr>
          <w:sz w:val="20"/>
          <w:szCs w:val="20"/>
        </w:rPr>
      </w:pPr>
      <w:r>
        <w:rPr>
          <w:rFonts w:cs="Times New Roman" w:ascii="Arial" w:hAnsi="Arial"/>
          <w:sz w:val="20"/>
          <w:szCs w:val="20"/>
          <w:lang w:val="pl-PL"/>
        </w:rPr>
        <w:t>Wykonawcy wspólnie ubiegający się o zamówienie ponoszą solidarną odpowiedzialność za wykonanie umowy.</w:t>
      </w:r>
    </w:p>
    <w:p>
      <w:pPr>
        <w:pStyle w:val="Heading1"/>
        <w:spacing w:before="120" w:after="60"/>
        <w:rPr>
          <w:rFonts w:ascii="Arial" w:hAnsi="Arial"/>
          <w:sz w:val="22"/>
          <w:szCs w:val="22"/>
        </w:rPr>
      </w:pPr>
      <w:r>
        <w:rPr>
          <w:rFonts w:cs="Times New Roman" w:ascii="Arial" w:hAnsi="Arial"/>
          <w:color w:val="auto"/>
          <w:sz w:val="22"/>
          <w:szCs w:val="22"/>
          <w:lang w:val="pl-PL"/>
        </w:rPr>
        <w:t>IX. POLEGANIE NA ZASOBACH PODMIOTÓW TRZECICH</w:t>
      </w:r>
    </w:p>
    <w:p>
      <w:pPr>
        <w:pStyle w:val="ListParagraph"/>
        <w:numPr>
          <w:ilvl w:val="0"/>
          <w:numId w:val="17"/>
        </w:numPr>
        <w:jc w:val="both"/>
        <w:rPr>
          <w:sz w:val="20"/>
          <w:szCs w:val="20"/>
        </w:rPr>
      </w:pPr>
      <w:r>
        <w:rPr>
          <w:rFonts w:cs="Times New Roman" w:ascii="Arial" w:hAnsi="Arial"/>
          <w:sz w:val="20"/>
          <w:szCs w:val="20"/>
          <w:lang w:val="pl-PL"/>
        </w:rPr>
        <w:t>Wykonawca może w celu potwierdzenia spełniania warunków udziału w postępowaniu polegać na zdolnościach technicznych, zawodowych lub sytuacji innych podmiotów, niezależnie od charakteru prawnego łączących go z nimi stosunków.</w:t>
      </w:r>
    </w:p>
    <w:p>
      <w:pPr>
        <w:pStyle w:val="ListParagraph"/>
        <w:numPr>
          <w:ilvl w:val="0"/>
          <w:numId w:val="17"/>
        </w:numPr>
        <w:jc w:val="both"/>
        <w:rPr>
          <w:sz w:val="20"/>
          <w:szCs w:val="20"/>
        </w:rPr>
      </w:pPr>
      <w:r>
        <w:rPr>
          <w:rFonts w:cs="Times New Roman" w:ascii="Arial" w:hAnsi="Arial"/>
          <w:sz w:val="20"/>
          <w:szCs w:val="20"/>
          <w:lang w:val="pl-PL"/>
        </w:rPr>
        <w:t xml:space="preserve">Wykonawca składa </w:t>
      </w:r>
      <w:r>
        <w:rPr>
          <w:rFonts w:cs="Times New Roman" w:ascii="Arial" w:hAnsi="Arial"/>
          <w:b/>
          <w:bCs/>
          <w:sz w:val="20"/>
          <w:szCs w:val="20"/>
          <w:lang w:val="pl-PL"/>
        </w:rPr>
        <w:t>wraz z ofertą</w:t>
      </w:r>
      <w:r>
        <w:rPr>
          <w:rFonts w:cs="Times New Roman" w:ascii="Arial" w:hAnsi="Arial"/>
          <w:sz w:val="20"/>
          <w:szCs w:val="20"/>
          <w:lang w:val="pl-PL"/>
        </w:rPr>
        <w:t xml:space="preserve"> zobowiązanie podmiotu udostępniającego zasoby, według załącznika nr 4, potwierdzające realny sposób udostępnienia zasobów i udział tego podmiotu w realizacji zamówienia, jeżeli jest to konieczne do wykazania spełniania warunku.</w:t>
      </w:r>
    </w:p>
    <w:p>
      <w:pPr>
        <w:pStyle w:val="ListParagraph"/>
        <w:numPr>
          <w:ilvl w:val="0"/>
          <w:numId w:val="17"/>
        </w:numPr>
        <w:jc w:val="both"/>
        <w:rPr>
          <w:sz w:val="20"/>
          <w:szCs w:val="20"/>
        </w:rPr>
      </w:pPr>
      <w:r>
        <w:rPr>
          <w:rFonts w:cs="Times New Roman" w:ascii="Arial" w:hAnsi="Arial"/>
          <w:sz w:val="20"/>
          <w:szCs w:val="20"/>
          <w:lang w:val="pl-PL"/>
        </w:rPr>
        <w:t>Podmiot udostępniający zasoby składa oświadczenie o braku podstaw wykluczenia oraz, w zakresie udostępnianych zasobów, o spełnianiu warunków udziału w postępowaniu.</w:t>
      </w:r>
    </w:p>
    <w:p>
      <w:pPr>
        <w:pStyle w:val="ListParagraph"/>
        <w:numPr>
          <w:ilvl w:val="0"/>
          <w:numId w:val="17"/>
        </w:numPr>
        <w:jc w:val="both"/>
        <w:rPr>
          <w:sz w:val="20"/>
          <w:szCs w:val="20"/>
        </w:rPr>
      </w:pPr>
      <w:r>
        <w:rPr>
          <w:rFonts w:cs="Times New Roman" w:ascii="Arial" w:hAnsi="Arial"/>
          <w:sz w:val="20"/>
          <w:szCs w:val="20"/>
          <w:lang w:val="pl-PL"/>
        </w:rPr>
        <w:t>Jeżeli zdolności podmiotu trzeciego nie potwierdzają spełniania warunków albo wobec tego podmiotu zachodzą podstawy wykluczenia, Zamawiający może żądać zastąpienia tego podmiotu innym podmiotem albo wykazania spełniania warunków samodzielnie przez Wykonawcę.</w:t>
      </w:r>
    </w:p>
    <w:p>
      <w:pPr>
        <w:pStyle w:val="Heading1"/>
        <w:spacing w:before="120" w:after="60"/>
        <w:rPr>
          <w:rFonts w:ascii="Arial" w:hAnsi="Arial"/>
          <w:sz w:val="22"/>
          <w:szCs w:val="22"/>
        </w:rPr>
      </w:pPr>
      <w:r>
        <w:rPr>
          <w:rFonts w:cs="Times New Roman" w:ascii="Arial" w:hAnsi="Arial"/>
          <w:color w:val="auto"/>
          <w:sz w:val="22"/>
          <w:szCs w:val="22"/>
          <w:lang w:val="pl-PL"/>
        </w:rPr>
        <w:t>X. PODWYKONAWCY</w:t>
      </w:r>
    </w:p>
    <w:p>
      <w:pPr>
        <w:pStyle w:val="ListParagraph"/>
        <w:numPr>
          <w:ilvl w:val="0"/>
          <w:numId w:val="18"/>
        </w:numPr>
        <w:jc w:val="both"/>
        <w:rPr>
          <w:sz w:val="20"/>
          <w:szCs w:val="20"/>
        </w:rPr>
      </w:pPr>
      <w:r>
        <w:rPr>
          <w:rFonts w:cs="Times New Roman" w:ascii="Arial" w:hAnsi="Arial"/>
          <w:sz w:val="20"/>
          <w:szCs w:val="20"/>
          <w:lang w:val="pl-PL"/>
        </w:rPr>
        <w:t>Wykonawca może powierzyć wykonanie części zamówienia podwykonawcy, z zastrzeżeniem odpowiedzialności Wykonawcy za działania i zaniechania podwykonawców jak za własne.</w:t>
      </w:r>
    </w:p>
    <w:p>
      <w:pPr>
        <w:pStyle w:val="ListParagraph"/>
        <w:numPr>
          <w:ilvl w:val="0"/>
          <w:numId w:val="18"/>
        </w:numPr>
        <w:jc w:val="both"/>
        <w:rPr>
          <w:sz w:val="20"/>
          <w:szCs w:val="20"/>
        </w:rPr>
      </w:pPr>
      <w:r>
        <w:rPr>
          <w:rFonts w:cs="Times New Roman" w:ascii="Arial" w:hAnsi="Arial"/>
          <w:sz w:val="20"/>
          <w:szCs w:val="20"/>
          <w:lang w:val="pl-PL"/>
        </w:rPr>
        <w:t>Wykonawca wskazuje w ofercie części zamówienia, których wykonanie zamierza powierzyć podwykonawcom, oraz podaje nazwy podwykonawców, jeżeli są znani na etapie składania oferty, według załącznika nr 6.</w:t>
      </w:r>
    </w:p>
    <w:p>
      <w:pPr>
        <w:pStyle w:val="ListParagraph"/>
        <w:numPr>
          <w:ilvl w:val="0"/>
          <w:numId w:val="18"/>
        </w:numPr>
        <w:jc w:val="both"/>
        <w:rPr>
          <w:sz w:val="20"/>
          <w:szCs w:val="20"/>
        </w:rPr>
      </w:pPr>
      <w:r>
        <w:rPr>
          <w:rFonts w:cs="Times New Roman" w:ascii="Arial" w:hAnsi="Arial"/>
          <w:sz w:val="20"/>
          <w:szCs w:val="20"/>
          <w:lang w:val="pl-PL"/>
        </w:rPr>
        <w:t>Brak wskazania podwykonawców w ofercie oznacza zamiar samodzielnego wykonania zamówienia, chyba że Zamawiający wyrazi zgodę na zmianę w toku realizacji umowy zgodnie z jej postanowieniami.</w:t>
      </w:r>
    </w:p>
    <w:p>
      <w:pPr>
        <w:pStyle w:val="ListParagraph"/>
        <w:numPr>
          <w:ilvl w:val="0"/>
          <w:numId w:val="18"/>
        </w:numPr>
        <w:jc w:val="both"/>
        <w:rPr>
          <w:sz w:val="20"/>
          <w:szCs w:val="20"/>
        </w:rPr>
      </w:pPr>
      <w:r>
        <w:rPr>
          <w:rFonts w:cs="Times New Roman" w:ascii="Arial" w:hAnsi="Arial"/>
          <w:sz w:val="20"/>
          <w:szCs w:val="20"/>
          <w:lang w:val="pl-PL"/>
        </w:rPr>
        <w:t>Jeżeli podwykonawca jest jednocześnie podmiotem udostępniającym zasoby, stosuje się również postanowienia rozdziału IX.</w:t>
      </w:r>
    </w:p>
    <w:p>
      <w:pPr>
        <w:pStyle w:val="Heading1"/>
        <w:spacing w:before="120" w:after="60"/>
        <w:rPr>
          <w:rFonts w:ascii="Arial" w:hAnsi="Arial"/>
          <w:sz w:val="22"/>
          <w:szCs w:val="22"/>
        </w:rPr>
      </w:pPr>
      <w:r>
        <w:rPr>
          <w:rFonts w:cs="Times New Roman" w:ascii="Arial" w:hAnsi="Arial"/>
          <w:color w:val="auto"/>
          <w:sz w:val="22"/>
          <w:szCs w:val="22"/>
          <w:lang w:val="pl-PL"/>
        </w:rPr>
        <w:t>XI. WADIUM</w:t>
      </w:r>
    </w:p>
    <w:p>
      <w:pPr>
        <w:pStyle w:val="ListParagraph"/>
        <w:numPr>
          <w:ilvl w:val="0"/>
          <w:numId w:val="19"/>
        </w:numPr>
        <w:jc w:val="both"/>
        <w:rPr>
          <w:sz w:val="20"/>
          <w:szCs w:val="20"/>
        </w:rPr>
      </w:pPr>
      <w:r>
        <w:rPr>
          <w:rFonts w:cs="Times New Roman" w:ascii="Arial" w:hAnsi="Arial"/>
          <w:sz w:val="20"/>
          <w:szCs w:val="20"/>
          <w:lang w:val="pl-PL"/>
        </w:rPr>
        <w:t>Zamawiający wymaga wniesienia wadium.</w:t>
      </w:r>
    </w:p>
    <w:p>
      <w:pPr>
        <w:pStyle w:val="ListParagraph"/>
        <w:numPr>
          <w:ilvl w:val="0"/>
          <w:numId w:val="19"/>
        </w:numPr>
        <w:jc w:val="both"/>
        <w:rPr>
          <w:sz w:val="20"/>
          <w:szCs w:val="20"/>
        </w:rPr>
      </w:pPr>
      <w:r>
        <w:rPr>
          <w:rFonts w:cs="Times New Roman" w:ascii="Arial" w:hAnsi="Arial"/>
          <w:sz w:val="20"/>
          <w:szCs w:val="20"/>
          <w:lang w:val="pl-PL"/>
        </w:rPr>
        <w:t xml:space="preserve">Ustala się wadium w wysokości: </w:t>
      </w:r>
      <w:r>
        <w:rPr>
          <w:rFonts w:cs="Times New Roman" w:ascii="Arial" w:hAnsi="Arial"/>
          <w:b/>
          <w:bCs/>
          <w:sz w:val="20"/>
          <w:szCs w:val="20"/>
          <w:lang w:val="pl-PL"/>
        </w:rPr>
        <w:t>40 000,00 zł</w:t>
      </w:r>
      <w:r>
        <w:rPr>
          <w:rFonts w:cs="Times New Roman" w:ascii="Arial" w:hAnsi="Arial"/>
          <w:sz w:val="20"/>
          <w:szCs w:val="20"/>
          <w:lang w:val="pl-PL"/>
        </w:rPr>
        <w:t>. [czterdzieści tysięcy złotych]. Wadium wnosi się przed upływem terminu składania ofert.</w:t>
      </w:r>
    </w:p>
    <w:p>
      <w:pPr>
        <w:pStyle w:val="ListParagraph"/>
        <w:numPr>
          <w:ilvl w:val="0"/>
          <w:numId w:val="19"/>
        </w:numPr>
        <w:jc w:val="both"/>
        <w:rPr>
          <w:sz w:val="20"/>
          <w:szCs w:val="20"/>
        </w:rPr>
      </w:pPr>
      <w:r>
        <w:rPr>
          <w:rFonts w:cs="Times New Roman" w:ascii="Arial" w:hAnsi="Arial"/>
          <w:sz w:val="20"/>
          <w:szCs w:val="20"/>
          <w:lang w:val="pl-PL"/>
        </w:rPr>
        <w:t>Wadium może być wnoszone w pieniądzu, gwarancjach bankowych, gwarancjach ubezpieczeniowych albo poręczeniach, o ile dokument wadialny zabezpiecza interes Zamawiającego przez cały okres związania ofertą.</w:t>
      </w:r>
    </w:p>
    <w:p>
      <w:pPr>
        <w:pStyle w:val="ListParagraph"/>
        <w:numPr>
          <w:ilvl w:val="0"/>
          <w:numId w:val="19"/>
        </w:numPr>
        <w:jc w:val="both"/>
        <w:rPr>
          <w:sz w:val="20"/>
          <w:szCs w:val="20"/>
        </w:rPr>
      </w:pPr>
      <w:r>
        <w:rPr>
          <w:rFonts w:cs="Times New Roman" w:ascii="Arial" w:hAnsi="Arial"/>
          <w:sz w:val="20"/>
          <w:szCs w:val="20"/>
          <w:lang w:val="pl-PL"/>
        </w:rPr>
        <w:t xml:space="preserve">Wadium w pieniądzu należy wnieść przelewem na rachunek bankowy Zamawiającego: </w:t>
      </w:r>
    </w:p>
    <w:p>
      <w:pPr>
        <w:pStyle w:val="ListParagraph"/>
        <w:jc w:val="both"/>
        <w:rPr>
          <w:sz w:val="20"/>
          <w:szCs w:val="20"/>
        </w:rPr>
      </w:pPr>
      <w:r>
        <w:rPr>
          <w:rFonts w:cs="Arial" w:ascii="Arial" w:hAnsi="Arial"/>
          <w:b/>
          <w:sz w:val="20"/>
          <w:szCs w:val="20"/>
          <w:lang w:val="pl-PL"/>
        </w:rPr>
        <w:t>92 8517 0007 0010 0070 7563 0016</w:t>
      </w:r>
      <w:r>
        <w:rPr>
          <w:rFonts w:cs="Times New Roman" w:ascii="Arial" w:hAnsi="Arial"/>
          <w:sz w:val="20"/>
          <w:szCs w:val="20"/>
          <w:lang w:val="pl-PL"/>
        </w:rPr>
        <w:t>, z dopiskiem: „Wadium – ZP.272.8.2026”.</w:t>
      </w:r>
    </w:p>
    <w:p>
      <w:pPr>
        <w:pStyle w:val="ListParagraph"/>
        <w:numPr>
          <w:ilvl w:val="0"/>
          <w:numId w:val="19"/>
        </w:numPr>
        <w:jc w:val="both"/>
        <w:rPr>
          <w:sz w:val="20"/>
          <w:szCs w:val="20"/>
        </w:rPr>
      </w:pPr>
      <w:r>
        <w:rPr>
          <w:rFonts w:cs="Times New Roman" w:ascii="Arial" w:hAnsi="Arial"/>
          <w:sz w:val="20"/>
          <w:szCs w:val="20"/>
          <w:lang w:val="pl-PL"/>
        </w:rPr>
        <w:t xml:space="preserve">Jeżeli zabezpieczenie wadialne zostało wniesione w formie niepieniężnej należy załączyć oryginał wniesienia wadium. </w:t>
      </w:r>
    </w:p>
    <w:p>
      <w:pPr>
        <w:pStyle w:val="ListParagraph"/>
        <w:numPr>
          <w:ilvl w:val="0"/>
          <w:numId w:val="19"/>
        </w:numPr>
        <w:jc w:val="both"/>
        <w:rPr>
          <w:sz w:val="20"/>
          <w:szCs w:val="20"/>
        </w:rPr>
      </w:pPr>
      <w:r>
        <w:rPr>
          <w:rFonts w:cs="Times New Roman" w:ascii="Arial" w:hAnsi="Arial"/>
          <w:sz w:val="20"/>
          <w:szCs w:val="20"/>
          <w:lang w:val="pl-PL"/>
        </w:rPr>
        <w:t>Zamawiający zwraca wadium Wykonawcom po wyborze oferty najkorzystniejszej, unieważnieniu postępowania albo upływie terminu związania ofertą, z zastrzeżeniem przypadków zatrzymania wadium wskazanych w niniejszym Zaproszeniu.</w:t>
      </w:r>
    </w:p>
    <w:p>
      <w:pPr>
        <w:pStyle w:val="ListParagraph"/>
        <w:numPr>
          <w:ilvl w:val="0"/>
          <w:numId w:val="19"/>
        </w:numPr>
        <w:jc w:val="both"/>
        <w:rPr>
          <w:sz w:val="20"/>
          <w:szCs w:val="20"/>
        </w:rPr>
      </w:pPr>
      <w:r>
        <w:rPr>
          <w:rFonts w:cs="Times New Roman" w:ascii="Arial" w:hAnsi="Arial"/>
          <w:sz w:val="20"/>
          <w:szCs w:val="20"/>
          <w:lang w:val="pl-PL"/>
        </w:rPr>
        <w:t>Zamawiający może zatrzymać wadium, jeżeli Wykonawca, którego oferta została wybrana, odmówi podpisania umowy, nie wniesie wymaganego zabezpieczenia należytego wykonania umowy albo zawarcie umowy stanie się niemożliwe z przyczyn leżących po stronie Wykonawcy. Do zatrzymania wadium zapisy ustawy Pzp stosuje się odpowiednio.</w:t>
      </w:r>
    </w:p>
    <w:p>
      <w:pPr>
        <w:pStyle w:val="Heading1"/>
        <w:spacing w:before="120" w:after="60"/>
        <w:rPr>
          <w:rFonts w:ascii="Arial" w:hAnsi="Arial"/>
          <w:sz w:val="22"/>
          <w:szCs w:val="22"/>
        </w:rPr>
      </w:pPr>
      <w:r>
        <w:rPr>
          <w:rFonts w:cs="Times New Roman" w:ascii="Arial" w:hAnsi="Arial"/>
          <w:color w:val="auto"/>
          <w:sz w:val="22"/>
          <w:szCs w:val="22"/>
          <w:lang w:val="pl-PL"/>
        </w:rPr>
        <w:t>XII. ZABEZPIECZENIE NALEŻYTEGO WYKONANIA UMOWY</w:t>
      </w:r>
    </w:p>
    <w:p>
      <w:pPr>
        <w:pStyle w:val="ListParagraph"/>
        <w:numPr>
          <w:ilvl w:val="0"/>
          <w:numId w:val="20"/>
        </w:numPr>
        <w:jc w:val="both"/>
        <w:rPr>
          <w:sz w:val="20"/>
          <w:szCs w:val="20"/>
        </w:rPr>
      </w:pPr>
      <w:r>
        <w:rPr>
          <w:rFonts w:cs="Times New Roman" w:ascii="Arial" w:hAnsi="Arial"/>
          <w:sz w:val="20"/>
          <w:szCs w:val="20"/>
          <w:lang w:val="pl-PL"/>
        </w:rPr>
        <w:t>Zamawiający wymaga wniesienia zabezpieczenia należytego wykonania umowy.</w:t>
      </w:r>
    </w:p>
    <w:p>
      <w:pPr>
        <w:pStyle w:val="ListParagraph"/>
        <w:numPr>
          <w:ilvl w:val="0"/>
          <w:numId w:val="20"/>
        </w:numPr>
        <w:jc w:val="both"/>
        <w:rPr>
          <w:sz w:val="20"/>
          <w:szCs w:val="20"/>
        </w:rPr>
      </w:pPr>
      <w:r>
        <w:rPr>
          <w:rFonts w:cs="Times New Roman" w:ascii="Arial" w:hAnsi="Arial"/>
          <w:sz w:val="20"/>
          <w:szCs w:val="20"/>
          <w:lang w:val="pl-PL"/>
        </w:rPr>
        <w:t>Zabezpieczenie w wysokości 5% ceny całkowitej brutto podanej w ofercie wybranego Wykonawcy.</w:t>
      </w:r>
    </w:p>
    <w:p>
      <w:pPr>
        <w:pStyle w:val="ListParagraph"/>
        <w:numPr>
          <w:ilvl w:val="0"/>
          <w:numId w:val="20"/>
        </w:numPr>
        <w:jc w:val="both"/>
        <w:rPr>
          <w:sz w:val="20"/>
          <w:szCs w:val="20"/>
        </w:rPr>
      </w:pPr>
      <w:r>
        <w:rPr>
          <w:rFonts w:cs="Times New Roman" w:ascii="Arial" w:hAnsi="Arial"/>
          <w:sz w:val="20"/>
          <w:szCs w:val="20"/>
          <w:lang w:val="pl-PL"/>
        </w:rPr>
        <w:t>Zabezpieczenie może być wniesione w pieniądzu, gwarancji bankowej, gwarancji ubezpieczeniowej albo poręczeniu zaakceptowanym przez Zamawiającego.</w:t>
      </w:r>
    </w:p>
    <w:p>
      <w:pPr>
        <w:pStyle w:val="ListParagraph"/>
        <w:numPr>
          <w:ilvl w:val="0"/>
          <w:numId w:val="20"/>
        </w:numPr>
        <w:jc w:val="both"/>
        <w:rPr>
          <w:sz w:val="20"/>
          <w:szCs w:val="20"/>
        </w:rPr>
      </w:pPr>
      <w:r>
        <w:rPr>
          <w:rFonts w:cs="Times New Roman" w:ascii="Arial" w:hAnsi="Arial"/>
          <w:sz w:val="20"/>
          <w:szCs w:val="20"/>
          <w:lang w:val="pl-PL"/>
        </w:rPr>
        <w:t>Zabezpieczenie służy pokryciu roszczeń z tytułu niewykonania lub nienależytego wykonania umowy,              w tym roszczeń z tytułu rękojmi i gwarancji.</w:t>
      </w:r>
    </w:p>
    <w:p>
      <w:pPr>
        <w:pStyle w:val="ListParagraph"/>
        <w:numPr>
          <w:ilvl w:val="0"/>
          <w:numId w:val="20"/>
        </w:numPr>
        <w:jc w:val="both"/>
        <w:rPr>
          <w:sz w:val="20"/>
          <w:szCs w:val="20"/>
        </w:rPr>
      </w:pPr>
      <w:r>
        <w:rPr>
          <w:rFonts w:cs="Times New Roman" w:ascii="Arial" w:hAnsi="Arial"/>
          <w:sz w:val="20"/>
          <w:szCs w:val="20"/>
          <w:lang w:val="pl-PL"/>
        </w:rPr>
        <w:t>Szczegółowe zasady wniesienia, utrzymywania i zwrotu zabezpieczenia określa wzór umowy.</w:t>
      </w:r>
    </w:p>
    <w:p>
      <w:pPr>
        <w:pStyle w:val="Heading1"/>
        <w:spacing w:before="177" w:after="117"/>
        <w:rPr>
          <w:rFonts w:ascii="Arial" w:hAnsi="Arial"/>
          <w:sz w:val="22"/>
          <w:szCs w:val="22"/>
        </w:rPr>
      </w:pPr>
      <w:r>
        <w:rPr>
          <w:rFonts w:cs="Times New Roman" w:ascii="Arial" w:hAnsi="Arial"/>
          <w:color w:val="auto"/>
          <w:sz w:val="22"/>
          <w:szCs w:val="22"/>
          <w:lang w:val="pl-PL" w:eastAsia="en-US"/>
        </w:rPr>
        <w:t>XIII. KRYTERIA OCENY OFERT</w:t>
      </w:r>
    </w:p>
    <w:tbl>
      <w:tblPr>
        <w:tblStyle w:val="Tabela-Siatka"/>
        <w:tblW w:w="1003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76"/>
        <w:gridCol w:w="2975"/>
        <w:gridCol w:w="4680"/>
      </w:tblGrid>
      <w:tr>
        <w:trPr/>
        <w:tc>
          <w:tcPr>
            <w:tcW w:w="2376" w:type="dxa"/>
            <w:tcBorders/>
            <w:shd w:color="auto" w:fill="F2F2F2" w:themeFill="background1" w:themeFillShade="f2" w:val="clear"/>
          </w:tcPr>
          <w:p>
            <w:pPr>
              <w:pStyle w:val="Normal"/>
              <w:widowControl/>
              <w:suppressAutoHyphens w:val="true"/>
              <w:spacing w:lineRule="auto" w:line="276" w:before="57" w:after="57"/>
              <w:jc w:val="left"/>
              <w:rPr>
                <w:sz w:val="20"/>
                <w:szCs w:val="20"/>
              </w:rPr>
            </w:pPr>
            <w:r>
              <w:rPr>
                <w:rFonts w:cs="Times New Roman" w:ascii="Arial" w:hAnsi="Arial"/>
                <w:b/>
                <w:kern w:val="0"/>
                <w:sz w:val="20"/>
                <w:szCs w:val="20"/>
                <w:lang w:val="pl-PL" w:bidi="ar-SA"/>
              </w:rPr>
              <w:t>Kryterium</w:t>
            </w:r>
          </w:p>
        </w:tc>
        <w:tc>
          <w:tcPr>
            <w:tcW w:w="2975" w:type="dxa"/>
            <w:tcBorders/>
            <w:shd w:color="auto" w:fill="F2F2F2" w:themeFill="background1" w:themeFillShade="f2" w:val="clear"/>
          </w:tcPr>
          <w:p>
            <w:pPr>
              <w:pStyle w:val="Normal"/>
              <w:widowControl/>
              <w:suppressAutoHyphens w:val="true"/>
              <w:spacing w:before="0" w:after="0"/>
              <w:jc w:val="left"/>
              <w:rPr>
                <w:sz w:val="20"/>
                <w:szCs w:val="20"/>
              </w:rPr>
            </w:pPr>
            <w:r>
              <w:rPr>
                <w:rFonts w:cs="Times New Roman" w:ascii="Arial" w:hAnsi="Arial"/>
                <w:b/>
                <w:kern w:val="0"/>
                <w:sz w:val="20"/>
                <w:szCs w:val="20"/>
                <w:lang w:val="pl-PL" w:bidi="ar-SA"/>
              </w:rPr>
              <w:t>Waga/</w:t>
            </w:r>
            <w:r>
              <w:rPr>
                <w:rFonts w:cs="Times New Roman" w:ascii="Arial" w:hAnsi="Arial"/>
                <w:kern w:val="0"/>
                <w:sz w:val="20"/>
                <w:szCs w:val="20"/>
                <w:lang w:val="pl-PL" w:bidi="ar-SA"/>
              </w:rPr>
              <w:t xml:space="preserve"> </w:t>
            </w:r>
            <w:r>
              <w:rPr>
                <w:rFonts w:cs="Times New Roman" w:ascii="Arial" w:hAnsi="Arial"/>
                <w:b/>
                <w:kern w:val="0"/>
                <w:sz w:val="20"/>
                <w:szCs w:val="20"/>
                <w:lang w:val="pl-PL" w:bidi="ar-SA"/>
              </w:rPr>
              <w:t>Maksymalna ilość punktów jakie może otrzymać oferta za dane kryterium</w:t>
            </w:r>
          </w:p>
        </w:tc>
        <w:tc>
          <w:tcPr>
            <w:tcW w:w="4680" w:type="dxa"/>
            <w:tcBorders/>
            <w:shd w:color="auto" w:fill="F2F2F2" w:themeFill="background1" w:themeFillShade="f2" w:val="clear"/>
          </w:tcPr>
          <w:p>
            <w:pPr>
              <w:pStyle w:val="Normal"/>
              <w:widowControl/>
              <w:suppressAutoHyphens w:val="true"/>
              <w:spacing w:lineRule="auto" w:line="276" w:before="0" w:after="0"/>
              <w:jc w:val="left"/>
              <w:rPr>
                <w:sz w:val="20"/>
                <w:szCs w:val="20"/>
              </w:rPr>
            </w:pPr>
            <w:r>
              <w:rPr>
                <w:rFonts w:cs="Times New Roman" w:ascii="Arial" w:hAnsi="Arial"/>
                <w:b/>
                <w:kern w:val="0"/>
                <w:sz w:val="20"/>
                <w:szCs w:val="20"/>
                <w:lang w:val="pl-PL" w:bidi="ar-SA"/>
              </w:rPr>
              <w:t>Sposób punktacji</w:t>
            </w:r>
          </w:p>
        </w:tc>
      </w:tr>
      <w:tr>
        <w:trPr/>
        <w:tc>
          <w:tcPr>
            <w:tcW w:w="2376" w:type="dxa"/>
            <w:tcBorders/>
          </w:tcPr>
          <w:p>
            <w:pPr>
              <w:pStyle w:val="Normal"/>
              <w:widowControl/>
              <w:suppressAutoHyphens w:val="true"/>
              <w:spacing w:lineRule="auto" w:line="276" w:before="57" w:after="57"/>
              <w:jc w:val="left"/>
              <w:rPr>
                <w:rFonts w:ascii="Arial" w:hAnsi="Arial" w:cs="Times New Roman"/>
                <w:kern w:val="0"/>
                <w:sz w:val="20"/>
                <w:szCs w:val="20"/>
                <w:lang w:val="pl-PL" w:bidi="ar-SA"/>
              </w:rPr>
            </w:pPr>
            <w:r>
              <w:rPr>
                <w:rFonts w:cs="Times New Roman" w:ascii="Arial" w:hAnsi="Arial"/>
                <w:kern w:val="0"/>
                <w:sz w:val="20"/>
                <w:szCs w:val="20"/>
                <w:lang w:val="pl-PL" w:bidi="ar-SA"/>
              </w:rPr>
              <w:t>Cena brutto</w:t>
            </w:r>
          </w:p>
          <w:p>
            <w:pPr>
              <w:pStyle w:val="Normal"/>
              <w:widowControl/>
              <w:suppressAutoHyphens w:val="true"/>
              <w:spacing w:lineRule="auto" w:line="276" w:before="57" w:after="57"/>
              <w:jc w:val="left"/>
              <w:rPr>
                <w:rFonts w:ascii="Arial" w:hAnsi="Arial" w:cs="Times New Roman"/>
                <w:kern w:val="0"/>
                <w:sz w:val="20"/>
                <w:szCs w:val="20"/>
                <w:lang w:val="pl-PL" w:bidi="ar-SA"/>
              </w:rPr>
            </w:pPr>
            <w:r>
              <w:rPr>
                <w:rFonts w:cs="Times New Roman" w:ascii="Arial" w:hAnsi="Arial"/>
                <w:kern w:val="0"/>
                <w:sz w:val="20"/>
                <w:szCs w:val="20"/>
                <w:lang w:val="pl-PL" w:bidi="ar-SA"/>
              </w:rPr>
            </w:r>
          </w:p>
        </w:tc>
        <w:tc>
          <w:tcPr>
            <w:tcW w:w="2975" w:type="dxa"/>
            <w:tcBorders/>
          </w:tcPr>
          <w:p>
            <w:pPr>
              <w:pStyle w:val="Normal"/>
              <w:widowControl/>
              <w:suppressAutoHyphens w:val="true"/>
              <w:spacing w:lineRule="auto" w:line="276" w:before="57" w:after="57"/>
              <w:jc w:val="left"/>
              <w:rPr>
                <w:sz w:val="20"/>
                <w:szCs w:val="20"/>
              </w:rPr>
            </w:pPr>
            <w:r>
              <w:rPr>
                <w:rFonts w:cs="Times New Roman" w:ascii="Arial" w:hAnsi="Arial"/>
                <w:kern w:val="0"/>
                <w:sz w:val="20"/>
                <w:szCs w:val="20"/>
                <w:lang w:val="pl-PL" w:bidi="ar-SA"/>
              </w:rPr>
              <w:t>60% - 60 pkt</w:t>
            </w:r>
          </w:p>
        </w:tc>
        <w:tc>
          <w:tcPr>
            <w:tcW w:w="4680" w:type="dxa"/>
            <w:tcBorders/>
          </w:tcPr>
          <w:p>
            <w:pPr>
              <w:pStyle w:val="Normal"/>
              <w:widowControl/>
              <w:suppressAutoHyphens w:val="true"/>
              <w:spacing w:lineRule="auto" w:line="276" w:before="0" w:after="0"/>
              <w:jc w:val="left"/>
              <w:rPr>
                <w:sz w:val="20"/>
                <w:szCs w:val="20"/>
              </w:rPr>
            </w:pPr>
            <w:r>
              <w:rPr>
                <w:rFonts w:cs="Times New Roman" w:ascii="Arial" w:hAnsi="Arial"/>
                <w:kern w:val="0"/>
                <w:sz w:val="20"/>
                <w:szCs w:val="20"/>
                <w:lang w:val="pl-PL" w:bidi="ar-SA"/>
              </w:rPr>
              <w:t>Liczba punktów = Cn/Cb x 60, gdzie Cn - najniższa cena spośród ofert nieodrzuconych, Cb - cena oferty badanej.</w:t>
            </w:r>
          </w:p>
        </w:tc>
      </w:tr>
      <w:tr>
        <w:trPr/>
        <w:tc>
          <w:tcPr>
            <w:tcW w:w="2376" w:type="dxa"/>
            <w:tcBorders/>
          </w:tcPr>
          <w:p>
            <w:pPr>
              <w:pStyle w:val="Normal"/>
              <w:widowControl/>
              <w:suppressAutoHyphens w:val="true"/>
              <w:spacing w:lineRule="auto" w:line="276" w:before="57" w:after="57"/>
              <w:jc w:val="left"/>
              <w:rPr>
                <w:sz w:val="20"/>
                <w:szCs w:val="20"/>
              </w:rPr>
            </w:pPr>
            <w:r>
              <w:rPr>
                <w:rFonts w:cs="Times New Roman" w:ascii="Arial" w:hAnsi="Arial"/>
                <w:kern w:val="0"/>
                <w:sz w:val="20"/>
                <w:szCs w:val="20"/>
                <w:lang w:val="pl-PL" w:bidi="ar-SA"/>
              </w:rPr>
              <w:t>Doświadczenie kierownika budowy</w:t>
            </w:r>
          </w:p>
        </w:tc>
        <w:tc>
          <w:tcPr>
            <w:tcW w:w="2975" w:type="dxa"/>
            <w:tcBorders/>
          </w:tcPr>
          <w:p>
            <w:pPr>
              <w:pStyle w:val="Normal"/>
              <w:widowControl/>
              <w:suppressAutoHyphens w:val="true"/>
              <w:spacing w:lineRule="auto" w:line="276" w:before="57" w:after="57"/>
              <w:jc w:val="left"/>
              <w:rPr>
                <w:sz w:val="20"/>
                <w:szCs w:val="20"/>
              </w:rPr>
            </w:pPr>
            <w:r>
              <w:rPr>
                <w:rFonts w:cs="Times New Roman" w:ascii="Arial" w:hAnsi="Arial"/>
                <w:kern w:val="0"/>
                <w:sz w:val="20"/>
                <w:szCs w:val="20"/>
                <w:lang w:val="pl-PL" w:bidi="ar-SA"/>
              </w:rPr>
              <w:t>20% - 20 pkt</w:t>
            </w:r>
          </w:p>
        </w:tc>
        <w:tc>
          <w:tcPr>
            <w:tcW w:w="4680" w:type="dxa"/>
            <w:tcBorders/>
          </w:tcPr>
          <w:p>
            <w:pPr>
              <w:pStyle w:val="Normal"/>
              <w:widowControl/>
              <w:suppressAutoHyphens w:val="true"/>
              <w:spacing w:lineRule="auto" w:line="276" w:before="57" w:after="57"/>
              <w:jc w:val="left"/>
              <w:rPr>
                <w:sz w:val="20"/>
                <w:szCs w:val="20"/>
              </w:rPr>
            </w:pPr>
            <w:r>
              <w:rPr>
                <w:rFonts w:cs="Times New Roman" w:ascii="Arial" w:hAnsi="Arial"/>
                <w:kern w:val="0"/>
                <w:sz w:val="20"/>
                <w:szCs w:val="20"/>
                <w:lang w:val="pl-PL" w:bidi="ar-SA"/>
              </w:rPr>
              <w:t>1 inwestycja - 0 pkt;</w:t>
            </w:r>
          </w:p>
          <w:p>
            <w:pPr>
              <w:pStyle w:val="Normal"/>
              <w:widowControl/>
              <w:suppressAutoHyphens w:val="true"/>
              <w:spacing w:lineRule="auto" w:line="276" w:before="0" w:after="0"/>
              <w:jc w:val="left"/>
              <w:rPr>
                <w:sz w:val="20"/>
                <w:szCs w:val="20"/>
              </w:rPr>
            </w:pPr>
            <w:r>
              <w:rPr>
                <w:rFonts w:cs="Times New Roman" w:ascii="Arial" w:hAnsi="Arial"/>
                <w:kern w:val="0"/>
                <w:sz w:val="20"/>
                <w:szCs w:val="20"/>
                <w:lang w:val="pl-PL" w:bidi="ar-SA"/>
              </w:rPr>
              <w:t>2 inwestycje - 10 pkt;</w:t>
            </w:r>
          </w:p>
          <w:p>
            <w:pPr>
              <w:pStyle w:val="Normal"/>
              <w:widowControl/>
              <w:suppressAutoHyphens w:val="true"/>
              <w:spacing w:lineRule="auto" w:line="276" w:before="0" w:after="0"/>
              <w:jc w:val="left"/>
              <w:rPr>
                <w:sz w:val="20"/>
                <w:szCs w:val="20"/>
              </w:rPr>
            </w:pPr>
            <w:r>
              <w:rPr>
                <w:rFonts w:cs="Times New Roman" w:ascii="Arial" w:hAnsi="Arial"/>
                <w:kern w:val="0"/>
                <w:sz w:val="20"/>
                <w:szCs w:val="20"/>
                <w:lang w:val="pl-PL" w:bidi="ar-SA"/>
              </w:rPr>
              <w:t>3 inwestycje i więcej - 20 pkt.</w:t>
            </w:r>
          </w:p>
        </w:tc>
      </w:tr>
      <w:tr>
        <w:trPr/>
        <w:tc>
          <w:tcPr>
            <w:tcW w:w="2376" w:type="dxa"/>
            <w:tcBorders/>
          </w:tcPr>
          <w:p>
            <w:pPr>
              <w:pStyle w:val="Normal"/>
              <w:widowControl/>
              <w:suppressAutoHyphens w:val="true"/>
              <w:spacing w:lineRule="auto" w:line="276" w:before="57" w:after="57"/>
              <w:jc w:val="left"/>
              <w:rPr>
                <w:sz w:val="20"/>
                <w:szCs w:val="20"/>
              </w:rPr>
            </w:pPr>
            <w:r>
              <w:rPr>
                <w:rFonts w:cs="Times New Roman" w:ascii="Arial" w:hAnsi="Arial"/>
                <w:kern w:val="0"/>
                <w:sz w:val="20"/>
                <w:szCs w:val="20"/>
                <w:lang w:val="pl-PL" w:bidi="ar-SA"/>
              </w:rPr>
              <w:t>Wydłużony okres gwarancji jakości</w:t>
            </w:r>
          </w:p>
        </w:tc>
        <w:tc>
          <w:tcPr>
            <w:tcW w:w="2975" w:type="dxa"/>
            <w:tcBorders/>
          </w:tcPr>
          <w:p>
            <w:pPr>
              <w:pStyle w:val="Normal"/>
              <w:widowControl/>
              <w:suppressAutoHyphens w:val="true"/>
              <w:spacing w:lineRule="auto" w:line="276" w:before="57" w:after="57"/>
              <w:jc w:val="left"/>
              <w:rPr>
                <w:sz w:val="20"/>
                <w:szCs w:val="20"/>
              </w:rPr>
            </w:pPr>
            <w:r>
              <w:rPr>
                <w:rFonts w:cs="Times New Roman" w:ascii="Arial" w:hAnsi="Arial"/>
                <w:kern w:val="0"/>
                <w:sz w:val="20"/>
                <w:szCs w:val="20"/>
                <w:lang w:val="pl-PL" w:bidi="ar-SA"/>
              </w:rPr>
              <w:t>20% - 20 pkt</w:t>
            </w:r>
          </w:p>
        </w:tc>
        <w:tc>
          <w:tcPr>
            <w:tcW w:w="4680" w:type="dxa"/>
            <w:tcBorders/>
          </w:tcPr>
          <w:p>
            <w:pPr>
              <w:pStyle w:val="Normal"/>
              <w:widowControl/>
              <w:suppressAutoHyphens w:val="true"/>
              <w:spacing w:lineRule="auto" w:line="276" w:before="57" w:after="57"/>
              <w:jc w:val="left"/>
              <w:rPr>
                <w:sz w:val="20"/>
                <w:szCs w:val="20"/>
              </w:rPr>
            </w:pPr>
            <w:r>
              <w:rPr>
                <w:rFonts w:cs="Times New Roman" w:ascii="Arial" w:hAnsi="Arial"/>
                <w:kern w:val="0"/>
                <w:sz w:val="20"/>
                <w:szCs w:val="20"/>
                <w:lang w:val="pl-PL" w:bidi="ar-SA"/>
              </w:rPr>
              <w:t>Poniżej 36 miesięcy - oferta odrzucona;</w:t>
            </w:r>
          </w:p>
          <w:p>
            <w:pPr>
              <w:pStyle w:val="Normal"/>
              <w:widowControl/>
              <w:suppressAutoHyphens w:val="true"/>
              <w:spacing w:lineRule="auto" w:line="276" w:before="0" w:after="0"/>
              <w:jc w:val="left"/>
              <w:rPr>
                <w:sz w:val="20"/>
                <w:szCs w:val="20"/>
              </w:rPr>
            </w:pPr>
            <w:r>
              <w:rPr>
                <w:rFonts w:cs="Times New Roman" w:ascii="Arial" w:hAnsi="Arial"/>
                <w:kern w:val="0"/>
                <w:sz w:val="20"/>
                <w:szCs w:val="20"/>
                <w:lang w:val="pl-PL" w:bidi="ar-SA"/>
              </w:rPr>
              <w:t xml:space="preserve">36 miesięcy - 0 pkt; </w:t>
              <w:br/>
              <w:t>48 miesięcy - 10 pkt;</w:t>
            </w:r>
          </w:p>
          <w:p>
            <w:pPr>
              <w:pStyle w:val="Normal"/>
              <w:widowControl/>
              <w:suppressAutoHyphens w:val="true"/>
              <w:spacing w:lineRule="auto" w:line="276" w:before="0" w:after="0"/>
              <w:jc w:val="left"/>
              <w:rPr>
                <w:sz w:val="20"/>
                <w:szCs w:val="20"/>
              </w:rPr>
            </w:pPr>
            <w:r>
              <w:rPr>
                <w:rFonts w:cs="Times New Roman" w:ascii="Arial" w:hAnsi="Arial"/>
                <w:kern w:val="0"/>
                <w:sz w:val="20"/>
                <w:szCs w:val="20"/>
                <w:lang w:val="pl-PL" w:bidi="ar-SA"/>
              </w:rPr>
              <w:t>60 miesięcy - 20 pkt.</w:t>
            </w:r>
          </w:p>
        </w:tc>
      </w:tr>
    </w:tbl>
    <w:p>
      <w:pPr>
        <w:pStyle w:val="Heading1"/>
        <w:spacing w:before="57" w:after="57"/>
        <w:ind w:right="49"/>
        <w:jc w:val="right"/>
        <w:rPr>
          <w:rFonts w:ascii="Arial" w:hAnsi="Arial"/>
          <w:sz w:val="22"/>
          <w:szCs w:val="22"/>
        </w:rPr>
      </w:pPr>
      <w:r>
        <w:rPr>
          <w:rFonts w:cs="Times New Roman" w:ascii="Arial" w:hAnsi="Arial"/>
          <w:color w:val="auto"/>
          <w:sz w:val="22"/>
          <w:szCs w:val="22"/>
          <w:lang w:val="pl-PL"/>
        </w:rPr>
        <w:t>Razem: 100 % = 100 pkt</w:t>
      </w:r>
    </w:p>
    <w:p>
      <w:pPr>
        <w:pStyle w:val="Heading1"/>
        <w:spacing w:before="240" w:after="60"/>
        <w:rPr>
          <w:rFonts w:ascii="Arial" w:hAnsi="Arial"/>
          <w:sz w:val="22"/>
          <w:szCs w:val="22"/>
        </w:rPr>
      </w:pPr>
      <w:r>
        <w:rPr>
          <w:rFonts w:cs="Times New Roman" w:ascii="Arial" w:hAnsi="Arial"/>
          <w:color w:val="auto"/>
          <w:sz w:val="22"/>
          <w:szCs w:val="22"/>
          <w:lang w:val="pl-PL"/>
        </w:rPr>
        <w:t>XIV. SPOSÓB OBLICZENIA CENY</w:t>
      </w:r>
    </w:p>
    <w:p>
      <w:pPr>
        <w:pStyle w:val="ListParagraph"/>
        <w:numPr>
          <w:ilvl w:val="0"/>
          <w:numId w:val="21"/>
        </w:numPr>
        <w:jc w:val="both"/>
        <w:rPr>
          <w:sz w:val="20"/>
          <w:szCs w:val="20"/>
        </w:rPr>
      </w:pPr>
      <w:r>
        <w:rPr>
          <w:rFonts w:cs="Times New Roman" w:ascii="Arial" w:hAnsi="Arial"/>
          <w:sz w:val="20"/>
          <w:szCs w:val="20"/>
          <w:lang w:val="pl-PL"/>
        </w:rPr>
        <w:t>Oferta musi zawierać ostateczną, ryczałtową, sumaryczną cenę brutto obejmującą wszystkie koszty wykonania zamówienia, w tym podatki, opłaty, upusty i rabaty oraz wszelkie koszty wykonawcze, odbiorowe, porządkowe i gwarancyjne.</w:t>
      </w:r>
    </w:p>
    <w:p>
      <w:pPr>
        <w:pStyle w:val="ListParagraph"/>
        <w:numPr>
          <w:ilvl w:val="0"/>
          <w:numId w:val="21"/>
        </w:numPr>
        <w:jc w:val="both"/>
        <w:rPr>
          <w:sz w:val="20"/>
          <w:szCs w:val="20"/>
        </w:rPr>
      </w:pPr>
      <w:r>
        <w:rPr>
          <w:rFonts w:cs="Times New Roman" w:ascii="Arial" w:hAnsi="Arial"/>
          <w:sz w:val="20"/>
          <w:szCs w:val="20"/>
          <w:lang w:val="pl-PL"/>
        </w:rPr>
        <w:t>Przy wycenie należy uwzględnić wszystkie dane wynikające z Zaproszenia, załącznika nr 7, wzoru umowy i obowiązujących przepisów.</w:t>
      </w:r>
    </w:p>
    <w:p>
      <w:pPr>
        <w:pStyle w:val="ListParagraph"/>
        <w:numPr>
          <w:ilvl w:val="0"/>
          <w:numId w:val="21"/>
        </w:numPr>
        <w:jc w:val="both"/>
        <w:rPr>
          <w:sz w:val="20"/>
          <w:szCs w:val="20"/>
        </w:rPr>
      </w:pPr>
      <w:r>
        <w:rPr>
          <w:rFonts w:cs="Times New Roman" w:ascii="Arial" w:hAnsi="Arial"/>
          <w:sz w:val="20"/>
          <w:szCs w:val="20"/>
          <w:lang w:val="pl-PL"/>
        </w:rPr>
        <w:t>Cena musi obejmować w szczególności: dokumentację powykonawczą, harmonogram, roboty przygotowawcze, porządkowe i rozbiórkowe, zaplecze budowy, media, odbiory, badania, ekspertyzy, doprowadzenie terenu do stanu właściwego, odpowiedzialność za szkody oraz przeglądy serwisowe  w okresie gwarancji.</w:t>
      </w:r>
    </w:p>
    <w:p>
      <w:pPr>
        <w:pStyle w:val="Heading1"/>
        <w:spacing w:before="120" w:after="60"/>
        <w:rPr>
          <w:rFonts w:ascii="Arial" w:hAnsi="Arial"/>
          <w:sz w:val="22"/>
          <w:szCs w:val="22"/>
        </w:rPr>
      </w:pPr>
      <w:r>
        <w:rPr>
          <w:rFonts w:cs="Times New Roman" w:ascii="Arial" w:hAnsi="Arial"/>
          <w:color w:val="auto"/>
          <w:sz w:val="22"/>
          <w:szCs w:val="22"/>
          <w:lang w:val="pl-PL"/>
        </w:rPr>
        <w:t>XV. TERMIN WYKONANIA, RĘKOJMIA I GWARANCJA</w:t>
      </w:r>
    </w:p>
    <w:p>
      <w:pPr>
        <w:pStyle w:val="ListParagraph"/>
        <w:numPr>
          <w:ilvl w:val="0"/>
          <w:numId w:val="22"/>
        </w:numPr>
        <w:jc w:val="both"/>
        <w:rPr>
          <w:sz w:val="20"/>
          <w:szCs w:val="20"/>
        </w:rPr>
      </w:pPr>
      <w:r>
        <w:rPr>
          <w:rFonts w:cs="Times New Roman" w:ascii="Arial" w:hAnsi="Arial"/>
          <w:sz w:val="20"/>
          <w:szCs w:val="20"/>
          <w:lang w:val="pl-PL"/>
        </w:rPr>
        <w:t xml:space="preserve">Przedmiot zamówienia należy wykonać do dnia </w:t>
      </w:r>
      <w:r>
        <w:rPr>
          <w:rFonts w:cs="Times New Roman" w:ascii="Arial" w:hAnsi="Arial"/>
          <w:b/>
          <w:bCs/>
          <w:sz w:val="20"/>
          <w:szCs w:val="20"/>
          <w:lang w:val="pl-PL"/>
        </w:rPr>
        <w:t>10 grudnia 2026 r.</w:t>
      </w:r>
      <w:r>
        <w:rPr>
          <w:rFonts w:cs="Times New Roman" w:ascii="Arial" w:hAnsi="Arial"/>
          <w:sz w:val="20"/>
          <w:szCs w:val="20"/>
          <w:lang w:val="pl-PL"/>
        </w:rPr>
        <w:t>, obejmując w tym terminie zgłoszenia robót budowlanych, wykonanie robót oraz uzyskanie decyzji o pozwoleniu na użytkowanie albo innej właściwej decyzji, jeżeli jest wymagana.</w:t>
      </w:r>
    </w:p>
    <w:p>
      <w:pPr>
        <w:pStyle w:val="ListParagraph"/>
        <w:numPr>
          <w:ilvl w:val="0"/>
          <w:numId w:val="22"/>
        </w:numPr>
        <w:jc w:val="both"/>
        <w:rPr>
          <w:sz w:val="20"/>
          <w:szCs w:val="20"/>
        </w:rPr>
      </w:pPr>
      <w:r>
        <w:rPr>
          <w:rFonts w:cs="Times New Roman" w:ascii="Arial" w:hAnsi="Arial"/>
          <w:sz w:val="20"/>
          <w:szCs w:val="20"/>
          <w:lang w:val="pl-PL"/>
        </w:rPr>
        <w:t xml:space="preserve">Wymagany termin rękojmi wynosi </w:t>
      </w:r>
      <w:r>
        <w:rPr>
          <w:rFonts w:cs="Times New Roman" w:ascii="Arial" w:hAnsi="Arial"/>
          <w:b/>
          <w:bCs/>
          <w:sz w:val="20"/>
          <w:szCs w:val="20"/>
          <w:lang w:val="pl-PL"/>
        </w:rPr>
        <w:t>60 miesięcy.</w:t>
      </w:r>
    </w:p>
    <w:p>
      <w:pPr>
        <w:pStyle w:val="ListParagraph"/>
        <w:numPr>
          <w:ilvl w:val="0"/>
          <w:numId w:val="22"/>
        </w:numPr>
        <w:jc w:val="both"/>
        <w:rPr>
          <w:sz w:val="20"/>
          <w:szCs w:val="20"/>
        </w:rPr>
      </w:pPr>
      <w:r>
        <w:rPr>
          <w:rFonts w:cs="Times New Roman" w:ascii="Arial" w:hAnsi="Arial"/>
          <w:b/>
          <w:bCs/>
          <w:sz w:val="20"/>
          <w:szCs w:val="20"/>
          <w:lang w:val="pl-PL"/>
        </w:rPr>
        <w:t>Minimalny okres gwarancji jakości</w:t>
      </w:r>
      <w:r>
        <w:rPr>
          <w:rFonts w:cs="Times New Roman" w:ascii="Arial" w:hAnsi="Arial"/>
          <w:sz w:val="20"/>
          <w:szCs w:val="20"/>
          <w:lang w:val="pl-PL"/>
        </w:rPr>
        <w:t xml:space="preserve"> na roboty budowlane wynosi </w:t>
      </w:r>
      <w:r>
        <w:rPr>
          <w:rFonts w:cs="Times New Roman" w:ascii="Arial" w:hAnsi="Arial"/>
          <w:b/>
          <w:bCs/>
          <w:sz w:val="20"/>
          <w:szCs w:val="20"/>
          <w:lang w:val="pl-PL"/>
        </w:rPr>
        <w:t>36 miesięcy.</w:t>
      </w:r>
      <w:r>
        <w:rPr>
          <w:rFonts w:cs="Times New Roman" w:ascii="Arial" w:hAnsi="Arial"/>
          <w:sz w:val="20"/>
          <w:szCs w:val="20"/>
          <w:lang w:val="pl-PL"/>
        </w:rPr>
        <w:t xml:space="preserve"> Okres gwarancji stanowi kryterium oceny ofert zgodnie z rozdziałem XIII.</w:t>
      </w:r>
    </w:p>
    <w:p>
      <w:pPr>
        <w:pStyle w:val="Heading1"/>
        <w:spacing w:before="120" w:after="60"/>
        <w:rPr>
          <w:rFonts w:ascii="Arial" w:hAnsi="Arial"/>
          <w:sz w:val="22"/>
          <w:szCs w:val="22"/>
        </w:rPr>
      </w:pPr>
      <w:r>
        <w:rPr>
          <w:rFonts w:cs="Times New Roman" w:ascii="Arial" w:hAnsi="Arial"/>
          <w:color w:val="auto"/>
          <w:sz w:val="22"/>
          <w:szCs w:val="22"/>
          <w:lang w:val="pl-PL"/>
        </w:rPr>
        <w:t>XVI. TERMIN ZWIĄZANIA OFERTĄ</w:t>
      </w:r>
    </w:p>
    <w:p>
      <w:pPr>
        <w:pStyle w:val="ListParagraph"/>
        <w:numPr>
          <w:ilvl w:val="0"/>
          <w:numId w:val="23"/>
        </w:numPr>
        <w:jc w:val="both"/>
        <w:rPr>
          <w:sz w:val="20"/>
          <w:szCs w:val="20"/>
        </w:rPr>
      </w:pPr>
      <w:r>
        <w:rPr>
          <w:rFonts w:cs="Times New Roman" w:ascii="Arial" w:hAnsi="Arial"/>
          <w:sz w:val="20"/>
          <w:szCs w:val="20"/>
          <w:lang w:val="pl-PL"/>
        </w:rPr>
        <w:t>Wykonawca jest związany ofertą przez okres 30 dni od dnia upływu terminu składania ofert.</w:t>
      </w:r>
    </w:p>
    <w:p>
      <w:pPr>
        <w:pStyle w:val="ListParagraph"/>
        <w:numPr>
          <w:ilvl w:val="0"/>
          <w:numId w:val="23"/>
        </w:numPr>
        <w:jc w:val="both"/>
        <w:rPr>
          <w:sz w:val="20"/>
          <w:szCs w:val="20"/>
        </w:rPr>
      </w:pPr>
      <w:r>
        <w:rPr>
          <w:rFonts w:cs="Times New Roman" w:ascii="Arial" w:hAnsi="Arial"/>
          <w:sz w:val="20"/>
          <w:szCs w:val="20"/>
          <w:lang w:val="pl-PL"/>
        </w:rPr>
        <w:t>Zamawiający może zwrócić się do Wykonawców o przedłużenie terminu związania ofertą. Przedłużenie terminu związania ofertą wymaga zgody Wykonawcy.</w:t>
      </w:r>
    </w:p>
    <w:p>
      <w:pPr>
        <w:pStyle w:val="Heading1"/>
        <w:spacing w:before="120" w:after="60"/>
        <w:rPr>
          <w:rFonts w:ascii="Arial" w:hAnsi="Arial"/>
          <w:sz w:val="22"/>
          <w:szCs w:val="22"/>
        </w:rPr>
      </w:pPr>
      <w:r>
        <w:rPr>
          <w:rFonts w:cs="Times New Roman" w:ascii="Arial" w:hAnsi="Arial"/>
          <w:color w:val="auto"/>
          <w:sz w:val="22"/>
          <w:szCs w:val="22"/>
          <w:lang w:val="pl-PL"/>
        </w:rPr>
        <w:t>XVII. TERMIN I SPOSÓB SKŁADANIA OFERT</w:t>
      </w:r>
    </w:p>
    <w:p>
      <w:pPr>
        <w:pStyle w:val="ListParagraph"/>
        <w:numPr>
          <w:ilvl w:val="0"/>
          <w:numId w:val="24"/>
        </w:numPr>
        <w:jc w:val="both"/>
        <w:rPr>
          <w:sz w:val="20"/>
          <w:szCs w:val="20"/>
        </w:rPr>
      </w:pPr>
      <w:r>
        <w:rPr>
          <w:rFonts w:cs="Times New Roman" w:ascii="Arial" w:hAnsi="Arial"/>
          <w:sz w:val="20"/>
          <w:szCs w:val="20"/>
          <w:lang w:val="pl-PL"/>
        </w:rPr>
        <w:t xml:space="preserve">Termin złożenia oferty: do dnia </w:t>
      </w:r>
      <w:r>
        <w:rPr>
          <w:rFonts w:cs="Times New Roman" w:ascii="Arial" w:hAnsi="Arial"/>
          <w:b/>
          <w:sz w:val="20"/>
          <w:szCs w:val="20"/>
          <w:lang w:val="pl-PL"/>
        </w:rPr>
        <w:t>10</w:t>
      </w:r>
      <w:r>
        <w:rPr>
          <w:rFonts w:cs="Times New Roman" w:ascii="Arial" w:hAnsi="Arial"/>
          <w:b/>
          <w:bCs/>
          <w:sz w:val="20"/>
          <w:szCs w:val="20"/>
          <w:lang w:val="pl-PL"/>
        </w:rPr>
        <w:t xml:space="preserve">.08.2026 r. do godz. </w:t>
      </w:r>
      <w:r>
        <w:rPr>
          <w:rFonts w:cs="Times New Roman" w:ascii="Arial" w:hAnsi="Arial"/>
          <w:b/>
          <w:bCs/>
          <w:sz w:val="20"/>
          <w:szCs w:val="20"/>
          <w:lang w:val="pl-PL"/>
        </w:rPr>
        <w:t>09</w:t>
      </w:r>
      <w:r>
        <w:rPr>
          <w:rFonts w:cs="Times New Roman" w:ascii="Arial" w:hAnsi="Arial"/>
          <w:b/>
          <w:bCs/>
          <w:sz w:val="20"/>
          <w:szCs w:val="20"/>
          <w:lang w:val="pl-PL"/>
        </w:rPr>
        <w:t>:00.</w:t>
      </w:r>
    </w:p>
    <w:p>
      <w:pPr>
        <w:pStyle w:val="ListParagraph"/>
        <w:numPr>
          <w:ilvl w:val="0"/>
          <w:numId w:val="24"/>
        </w:numPr>
        <w:jc w:val="both"/>
        <w:rPr>
          <w:sz w:val="20"/>
          <w:szCs w:val="20"/>
        </w:rPr>
      </w:pPr>
      <w:r>
        <w:rPr>
          <w:rFonts w:cs="Times New Roman" w:ascii="Arial" w:hAnsi="Arial"/>
          <w:sz w:val="20"/>
          <w:szCs w:val="20"/>
          <w:lang w:val="pl-PL"/>
        </w:rPr>
        <w:t xml:space="preserve">Otwarcie ofert nastąpi dnia </w:t>
      </w:r>
      <w:r>
        <w:rPr>
          <w:rFonts w:cs="Times New Roman" w:ascii="Arial" w:hAnsi="Arial"/>
          <w:b/>
          <w:sz w:val="20"/>
          <w:szCs w:val="20"/>
          <w:lang w:val="pl-PL"/>
        </w:rPr>
        <w:t>10</w:t>
      </w:r>
      <w:r>
        <w:rPr>
          <w:rFonts w:cs="Times New Roman" w:ascii="Arial" w:hAnsi="Arial"/>
          <w:b/>
          <w:bCs/>
          <w:sz w:val="20"/>
          <w:szCs w:val="20"/>
          <w:lang w:val="pl-PL"/>
        </w:rPr>
        <w:t xml:space="preserve">.08.2026 r. o godz. </w:t>
      </w:r>
      <w:r>
        <w:rPr>
          <w:rFonts w:cs="Times New Roman" w:ascii="Arial" w:hAnsi="Arial"/>
          <w:b/>
          <w:bCs/>
          <w:sz w:val="20"/>
          <w:szCs w:val="20"/>
          <w:lang w:val="pl-PL"/>
        </w:rPr>
        <w:t>10</w:t>
      </w:r>
      <w:r>
        <w:rPr>
          <w:rFonts w:cs="Times New Roman" w:ascii="Arial" w:hAnsi="Arial"/>
          <w:b/>
          <w:bCs/>
          <w:sz w:val="20"/>
          <w:szCs w:val="20"/>
          <w:lang w:val="pl-PL"/>
        </w:rPr>
        <w:t>:30.</w:t>
      </w:r>
    </w:p>
    <w:p>
      <w:pPr>
        <w:pStyle w:val="ListParagraph"/>
        <w:numPr>
          <w:ilvl w:val="0"/>
          <w:numId w:val="24"/>
        </w:numPr>
        <w:jc w:val="both"/>
        <w:rPr>
          <w:sz w:val="20"/>
          <w:szCs w:val="20"/>
        </w:rPr>
      </w:pPr>
      <w:r>
        <w:rPr>
          <w:rFonts w:cs="Times New Roman" w:ascii="Arial" w:hAnsi="Arial"/>
          <w:sz w:val="20"/>
          <w:szCs w:val="20"/>
          <w:lang w:val="pl-PL" w:eastAsia="en-US"/>
        </w:rPr>
        <w:t xml:space="preserve">Wykonawca składa ofertę na formularzu ofertowym stanowiącym załącznik nr 1 do Zaproszenia wraz           z dokumentami wymienionymi w rozdziale XXIII na adres e-mail: </w:t>
      </w:r>
      <w:r>
        <w:rPr>
          <w:rFonts w:cs="Times New Roman" w:ascii="Arial" w:hAnsi="Arial"/>
          <w:b/>
          <w:bCs/>
          <w:sz w:val="20"/>
          <w:szCs w:val="20"/>
          <w:lang w:val="pl-PL" w:eastAsia="en-US"/>
        </w:rPr>
        <w:t>zp@powiat.busko.pl.</w:t>
      </w:r>
    </w:p>
    <w:p>
      <w:pPr>
        <w:pStyle w:val="ListParagraph"/>
        <w:numPr>
          <w:ilvl w:val="0"/>
          <w:numId w:val="24"/>
        </w:numPr>
        <w:jc w:val="both"/>
        <w:rPr>
          <w:sz w:val="20"/>
          <w:szCs w:val="20"/>
        </w:rPr>
      </w:pPr>
      <w:r>
        <w:rPr>
          <w:rFonts w:cs="Times New Roman" w:ascii="Arial" w:hAnsi="Arial"/>
          <w:b/>
          <w:bCs/>
          <w:sz w:val="20"/>
          <w:szCs w:val="20"/>
          <w:lang w:val="pl-PL"/>
        </w:rPr>
        <w:t>Oferta wraz z oświadczeniami składana w formie elektronicznej opatrzonej kwalifikowanym podpisem elektronicznym albo w postaci elektronicznej opatrzonej podpisem zaufanym lub podpisem osobistym musi zostać zabezpieczona hasłem wysłanym na adres e-mail Zamawiającego:</w:t>
      </w:r>
      <w:r>
        <w:rPr>
          <w:rFonts w:cs="Times New Roman" w:ascii="Arial" w:hAnsi="Arial"/>
          <w:b/>
          <w:bCs/>
          <w:sz w:val="20"/>
          <w:szCs w:val="20"/>
          <w:u w:val="single"/>
          <w:lang w:val="pl-PL"/>
        </w:rPr>
        <w:t xml:space="preserve"> zp@powiat.busko.pl nie później niż w ciągu 60 minut po upływie terminu składania ofert. Niewysłanie hasła oznacza wycofanie oferty</w:t>
      </w:r>
      <w:r>
        <w:rPr>
          <w:rFonts w:cs="Times New Roman" w:ascii="Arial" w:hAnsi="Arial"/>
          <w:sz w:val="20"/>
          <w:szCs w:val="20"/>
          <w:u w:val="single"/>
          <w:lang w:val="pl-PL"/>
        </w:rPr>
        <w:t>.</w:t>
      </w:r>
    </w:p>
    <w:p>
      <w:pPr>
        <w:pStyle w:val="ListParagraph"/>
        <w:numPr>
          <w:ilvl w:val="0"/>
          <w:numId w:val="24"/>
        </w:numPr>
        <w:jc w:val="both"/>
        <w:rPr>
          <w:sz w:val="20"/>
          <w:szCs w:val="20"/>
        </w:rPr>
      </w:pPr>
      <w:r>
        <w:rPr>
          <w:rFonts w:cs="Times New Roman" w:ascii="Arial" w:hAnsi="Arial"/>
          <w:sz w:val="20"/>
          <w:szCs w:val="20"/>
          <w:lang w:val="pl-PL"/>
        </w:rPr>
        <w:t>Oferta złożona po terminie nie podlega rozpatrzeniu.</w:t>
      </w:r>
    </w:p>
    <w:p>
      <w:pPr>
        <w:pStyle w:val="Heading1"/>
        <w:spacing w:before="120" w:after="60"/>
        <w:rPr>
          <w:rFonts w:ascii="Arial" w:hAnsi="Arial"/>
          <w:sz w:val="22"/>
          <w:szCs w:val="22"/>
        </w:rPr>
      </w:pPr>
      <w:r>
        <w:rPr>
          <w:rFonts w:cs="Times New Roman" w:ascii="Arial" w:hAnsi="Arial"/>
          <w:color w:val="auto"/>
          <w:sz w:val="22"/>
          <w:szCs w:val="22"/>
          <w:lang w:val="pl-PL"/>
        </w:rPr>
        <w:t>XVIII. WYJAŚNIENIA, UZUPEŁNIENIA, OMYŁKI I ODRZUCENIE OFERT</w:t>
      </w:r>
    </w:p>
    <w:p>
      <w:pPr>
        <w:pStyle w:val="ListParagraph"/>
        <w:numPr>
          <w:ilvl w:val="0"/>
          <w:numId w:val="25"/>
        </w:numPr>
        <w:jc w:val="both"/>
        <w:rPr>
          <w:sz w:val="20"/>
          <w:szCs w:val="20"/>
        </w:rPr>
      </w:pPr>
      <w:r>
        <w:rPr>
          <w:rFonts w:cs="Times New Roman" w:ascii="Arial" w:hAnsi="Arial"/>
          <w:sz w:val="20"/>
          <w:szCs w:val="20"/>
          <w:lang w:val="pl-PL"/>
        </w:rPr>
        <w:t>Zamawiający może wezwać Wykonawcę do złożenia wyjaśnień dotyczących treści oferty, dokumentów, oświadczeń, ceny, podmiotowych lub przedmiotowych środków dowodowych.</w:t>
      </w:r>
    </w:p>
    <w:p>
      <w:pPr>
        <w:pStyle w:val="ListParagraph"/>
        <w:numPr>
          <w:ilvl w:val="0"/>
          <w:numId w:val="25"/>
        </w:numPr>
        <w:jc w:val="both"/>
        <w:rPr>
          <w:sz w:val="20"/>
          <w:szCs w:val="20"/>
        </w:rPr>
      </w:pPr>
      <w:r>
        <w:rPr>
          <w:rFonts w:cs="Times New Roman" w:ascii="Arial" w:hAnsi="Arial"/>
          <w:sz w:val="20"/>
          <w:szCs w:val="20"/>
          <w:lang w:val="pl-PL"/>
        </w:rPr>
        <w:t>Zamawiający może wezwać do uzupełnienia dokumentów lub oświadczeń, jeżeli nie zostały złożone, są niekompletne, zawierają błędy lub budzą wątpliwości, z zastrzeżeniem że uzupełnienie nie może prowadzić do złożenia nowej oferty ani zmiany elementów ocenianych w kryteriach oceny ofert.</w:t>
      </w:r>
    </w:p>
    <w:p>
      <w:pPr>
        <w:pStyle w:val="ListParagraph"/>
        <w:numPr>
          <w:ilvl w:val="0"/>
          <w:numId w:val="25"/>
        </w:numPr>
        <w:jc w:val="both"/>
        <w:rPr>
          <w:sz w:val="20"/>
          <w:szCs w:val="20"/>
        </w:rPr>
      </w:pPr>
      <w:r>
        <w:rPr>
          <w:rFonts w:cs="Times New Roman" w:ascii="Arial" w:hAnsi="Arial"/>
          <w:sz w:val="20"/>
          <w:szCs w:val="20"/>
          <w:lang w:val="pl-PL"/>
        </w:rPr>
        <w:t>Zamawiający może poprawić oczywiste omyłki pisarskie, rachunkowe oraz inne oczywiste omyłki niepowodujące istotnej zmiany treści oferty, informując o tym Wykonawcę.</w:t>
      </w:r>
    </w:p>
    <w:p>
      <w:pPr>
        <w:pStyle w:val="ListParagraph"/>
        <w:numPr>
          <w:ilvl w:val="0"/>
          <w:numId w:val="25"/>
        </w:numPr>
        <w:jc w:val="both"/>
        <w:rPr>
          <w:sz w:val="20"/>
          <w:szCs w:val="20"/>
        </w:rPr>
      </w:pPr>
      <w:r>
        <w:rPr>
          <w:rFonts w:cs="Times New Roman" w:ascii="Arial" w:hAnsi="Arial"/>
          <w:sz w:val="20"/>
          <w:szCs w:val="20"/>
          <w:lang w:val="pl-PL"/>
        </w:rPr>
        <w:t>Oferta podlega odrzuceniu w szczególności, jeżeli została złożona po terminie, jej treść jest niezgodna  z Zaproszeniem, Wykonawca nie złożył wymaganych wyjaśnień lub uzupełnień, Wykonawca podlega wykluczeniu, oferta zawiera rażąco niską cenę niewyjaśnioną w sposób akceptowalny przez Zamawiającego albo Wykonawca nie wniósł wadium, jeżeli było wymagane.</w:t>
      </w:r>
    </w:p>
    <w:p>
      <w:pPr>
        <w:pStyle w:val="Heading1"/>
        <w:spacing w:before="120" w:after="60"/>
        <w:rPr>
          <w:rFonts w:ascii="Arial" w:hAnsi="Arial"/>
          <w:sz w:val="22"/>
          <w:szCs w:val="22"/>
        </w:rPr>
      </w:pPr>
      <w:r>
        <w:rPr>
          <w:rFonts w:cs="Times New Roman" w:ascii="Arial" w:hAnsi="Arial"/>
          <w:color w:val="auto"/>
          <w:sz w:val="22"/>
          <w:szCs w:val="22"/>
          <w:lang w:val="pl-PL"/>
        </w:rPr>
        <w:t>XIX. WYBÓR OFERTY LUB UNIEWAŻNIENIE POSTĘPOWANIA</w:t>
      </w:r>
    </w:p>
    <w:p>
      <w:pPr>
        <w:pStyle w:val="ListParagraph"/>
        <w:numPr>
          <w:ilvl w:val="0"/>
          <w:numId w:val="26"/>
        </w:numPr>
        <w:jc w:val="both"/>
        <w:rPr>
          <w:sz w:val="20"/>
          <w:szCs w:val="20"/>
        </w:rPr>
      </w:pPr>
      <w:r>
        <w:rPr>
          <w:rFonts w:cs="Times New Roman" w:ascii="Arial" w:hAnsi="Arial"/>
          <w:sz w:val="20"/>
          <w:szCs w:val="20"/>
          <w:lang w:val="pl-PL"/>
        </w:rPr>
        <w:t>Zamawiający wybiera ofertę najkorzystniejszą spośród ofert niepodlegających odrzuceniu, na podstawie kryteriów oceny ofert określonych w rozdziale XIII.</w:t>
      </w:r>
    </w:p>
    <w:p>
      <w:pPr>
        <w:pStyle w:val="ListParagraph"/>
        <w:numPr>
          <w:ilvl w:val="0"/>
          <w:numId w:val="26"/>
        </w:numPr>
        <w:jc w:val="both"/>
        <w:rPr>
          <w:sz w:val="20"/>
          <w:szCs w:val="20"/>
        </w:rPr>
      </w:pPr>
      <w:r>
        <w:rPr>
          <w:rFonts w:cs="Times New Roman" w:ascii="Arial" w:hAnsi="Arial"/>
          <w:sz w:val="20"/>
          <w:szCs w:val="20"/>
          <w:lang w:val="pl-PL"/>
        </w:rPr>
        <w:t>Jeżeli dwie lub więcej ofert uzyska taką samą liczbę punktów, Zamawiający może wezwać Wykonawców do złożenia ofert dodatkowych w zakresie ceny albo wybrać ofertę z niższą ceną, jeżeli różnica dotyczy wyłącznie kryteriów pozacenowych.</w:t>
      </w:r>
    </w:p>
    <w:p>
      <w:pPr>
        <w:pStyle w:val="ListParagraph"/>
        <w:numPr>
          <w:ilvl w:val="0"/>
          <w:numId w:val="26"/>
        </w:numPr>
        <w:jc w:val="both"/>
        <w:rPr>
          <w:sz w:val="20"/>
          <w:szCs w:val="20"/>
        </w:rPr>
      </w:pPr>
      <w:r>
        <w:rPr>
          <w:rFonts w:cs="Times New Roman" w:ascii="Arial" w:hAnsi="Arial"/>
          <w:sz w:val="20"/>
          <w:szCs w:val="20"/>
          <w:lang w:val="pl-PL"/>
        </w:rPr>
        <w:t>Zamawiający może unieważnić postępowanie w szczególności, gdy nie złożono żadnej oferty niepodlegającej odrzuceniu, cena najkorzystniejszej oferty przekracza środki przeznaczone na sfinansowanie zamówienia, wystąpiła istotna zmiana okoliczności, postępowanie obarczone jest wadą, której nie można usunąć, lub wykonanie zamówienia przestało leżeć w interesie publicznym.</w:t>
      </w:r>
    </w:p>
    <w:p>
      <w:pPr>
        <w:pStyle w:val="ListParagraph"/>
        <w:numPr>
          <w:ilvl w:val="0"/>
          <w:numId w:val="26"/>
        </w:numPr>
        <w:jc w:val="both"/>
        <w:rPr>
          <w:sz w:val="20"/>
          <w:szCs w:val="20"/>
        </w:rPr>
      </w:pPr>
      <w:r>
        <w:rPr>
          <w:rFonts w:cs="Arial" w:ascii="Arial" w:hAnsi="Arial"/>
          <w:iCs/>
          <w:sz w:val="20"/>
          <w:szCs w:val="20"/>
          <w:lang w:val="pl-PL" w:eastAsia="en-US"/>
        </w:rPr>
        <w:t>Zamawiający może unieważnić postępowanie, jeżeli środki publiczne, które Zamawiający zamierzał przeznaczyć na sfinansowanie całości lub części zamówienia, nie zostały mu przyznane.</w:t>
      </w:r>
    </w:p>
    <w:p>
      <w:pPr>
        <w:pStyle w:val="ListParagraph"/>
        <w:numPr>
          <w:ilvl w:val="0"/>
          <w:numId w:val="26"/>
        </w:numPr>
        <w:jc w:val="both"/>
        <w:rPr>
          <w:sz w:val="20"/>
          <w:szCs w:val="20"/>
        </w:rPr>
      </w:pPr>
      <w:r>
        <w:rPr>
          <w:rFonts w:cs="Times New Roman" w:ascii="Arial" w:hAnsi="Arial"/>
          <w:sz w:val="20"/>
          <w:szCs w:val="20"/>
          <w:lang w:val="pl-PL"/>
        </w:rPr>
        <w:t>Zamawiający może unieważnić postępowanie bez podania przyczyny.</w:t>
      </w:r>
    </w:p>
    <w:p>
      <w:pPr>
        <w:pStyle w:val="ListParagraph"/>
        <w:numPr>
          <w:ilvl w:val="0"/>
          <w:numId w:val="26"/>
        </w:numPr>
        <w:jc w:val="both"/>
        <w:rPr>
          <w:sz w:val="20"/>
          <w:szCs w:val="20"/>
        </w:rPr>
      </w:pPr>
      <w:r>
        <w:rPr>
          <w:rFonts w:cs="Times New Roman" w:ascii="Arial" w:hAnsi="Arial"/>
          <w:sz w:val="20"/>
          <w:szCs w:val="20"/>
          <w:lang w:val="pl-PL"/>
        </w:rPr>
        <w:t>Informacja o udzieleniu albo nieudzieleniu zamówienia zostanie opublikowana w BIP Zamawiającego.</w:t>
      </w:r>
    </w:p>
    <w:p>
      <w:pPr>
        <w:pStyle w:val="Heading1"/>
        <w:spacing w:before="120" w:after="60"/>
        <w:rPr>
          <w:rFonts w:ascii="Arial" w:hAnsi="Arial"/>
          <w:sz w:val="22"/>
          <w:szCs w:val="22"/>
        </w:rPr>
      </w:pPr>
      <w:r>
        <w:rPr>
          <w:rFonts w:cs="Times New Roman" w:ascii="Arial" w:hAnsi="Arial"/>
          <w:color w:val="auto"/>
          <w:sz w:val="22"/>
          <w:szCs w:val="22"/>
          <w:lang w:val="pl-PL"/>
        </w:rPr>
        <w:t>XX. BEZSTRONNOŚĆ OSÓB WYKONUJĄCYCH CZYNNOŚCI W POSTĘPOWANIU</w:t>
      </w:r>
    </w:p>
    <w:p>
      <w:pPr>
        <w:pStyle w:val="ListParagraph"/>
        <w:numPr>
          <w:ilvl w:val="0"/>
          <w:numId w:val="27"/>
        </w:numPr>
        <w:jc w:val="both"/>
        <w:rPr>
          <w:sz w:val="20"/>
          <w:szCs w:val="20"/>
        </w:rPr>
      </w:pPr>
      <w:r>
        <w:rPr>
          <w:rFonts w:cs="Times New Roman" w:ascii="Arial" w:hAnsi="Arial"/>
          <w:sz w:val="20"/>
          <w:szCs w:val="20"/>
          <w:lang w:val="pl-PL"/>
        </w:rPr>
        <w:t>Osoby wykonujące po stronie Zamawiającego czynności w postępowaniu podlegają wyłączeniu, jeżeli zachodzą wobec nich okoliczności mogące budzić uzasadnione wątpliwości co do ich bezstronności lub niezależności, w szczególności okoliczności określone w art. 157a ust. 4 ustawy o ochronie ludności                i obronie cywilnej.</w:t>
      </w:r>
    </w:p>
    <w:p>
      <w:pPr>
        <w:pStyle w:val="ListParagraph"/>
        <w:numPr>
          <w:ilvl w:val="0"/>
          <w:numId w:val="27"/>
        </w:numPr>
        <w:jc w:val="both"/>
        <w:rPr>
          <w:sz w:val="20"/>
          <w:szCs w:val="20"/>
        </w:rPr>
      </w:pPr>
      <w:r>
        <w:rPr>
          <w:rFonts w:cs="Times New Roman" w:ascii="Arial" w:hAnsi="Arial"/>
          <w:sz w:val="20"/>
          <w:szCs w:val="20"/>
          <w:lang w:val="pl-PL"/>
        </w:rPr>
        <w:t>Osoby te składają pisemne oświadczenie o braku albo istnieniu okoliczności wpływających na ich bezstronność. Wzór oświadczenia stanowi załącznik nr 8 do Zaproszenia i pozostaje w dokumentacji postępowania.</w:t>
      </w:r>
    </w:p>
    <w:p>
      <w:pPr>
        <w:pStyle w:val="Heading1"/>
        <w:spacing w:before="120" w:after="60"/>
        <w:rPr>
          <w:rFonts w:ascii="Arial" w:hAnsi="Arial"/>
          <w:sz w:val="22"/>
          <w:szCs w:val="22"/>
        </w:rPr>
      </w:pPr>
      <w:r>
        <w:rPr>
          <w:rFonts w:cs="Times New Roman" w:ascii="Arial" w:hAnsi="Arial"/>
          <w:color w:val="auto"/>
          <w:sz w:val="22"/>
          <w:szCs w:val="22"/>
          <w:lang w:val="pl-PL"/>
        </w:rPr>
        <w:t>XXI. TAJEMNICA PRZEDSIĘBIORSTWA</w:t>
      </w:r>
    </w:p>
    <w:p>
      <w:pPr>
        <w:pStyle w:val="Normal"/>
        <w:jc w:val="both"/>
        <w:rPr>
          <w:sz w:val="20"/>
          <w:szCs w:val="20"/>
        </w:rPr>
      </w:pPr>
      <w:r>
        <w:rPr>
          <w:rFonts w:cs="Times New Roman" w:ascii="Arial" w:hAnsi="Arial"/>
          <w:sz w:val="20"/>
          <w:szCs w:val="20"/>
          <w:lang w:val="pl-PL" w:eastAsia="en-US"/>
        </w:rPr>
        <w:t xml:space="preserve">Zamawiający nie udostępnia informacji związanych z zamówieniem stanowiących tajemnicę przedsiębiorstwa w rozumieniu art. 11 ust. 2 ustawy </w:t>
      </w:r>
      <w:r>
        <w:rPr>
          <w:rFonts w:ascii="Arial" w:hAnsi="Arial"/>
          <w:sz w:val="20"/>
          <w:szCs w:val="20"/>
          <w:lang w:val="pl-PL" w:eastAsia="en-US"/>
        </w:rPr>
        <w:t xml:space="preserve">z dnia 16 kwietnia 1993 r. o zwalczaniu nieuczciwej konkurencji (Dz. U. z 2026 r. poz. 85), </w:t>
      </w:r>
      <w:r>
        <w:rPr>
          <w:rFonts w:cs="Times New Roman" w:ascii="Arial" w:hAnsi="Arial"/>
          <w:sz w:val="20"/>
          <w:szCs w:val="20"/>
          <w:lang w:val="pl-PL" w:eastAsia="en-US"/>
        </w:rPr>
        <w:t>jeżeli nie później niż w terminie składania ofert podmiot zainteresowany realizacją zamówienia zastrzegł, że nie mogą być one udostępniane, oraz wykazał, że informacje te stanowią tajemnicę przedsiębiorstwa, z wyjątkiem nazwy oraz adresu podmiotu zainteresowanego realizacją zamówienia i informacji dotyczących ceny, terminu realizacji zamówienia, okresu gwarancji i warunków płatności zawartych w ofercie, które nie mogą zostać zastrzeżone.</w:t>
      </w:r>
    </w:p>
    <w:p>
      <w:pPr>
        <w:pStyle w:val="Heading1"/>
        <w:spacing w:before="120" w:after="60"/>
        <w:rPr>
          <w:rFonts w:ascii="Arial" w:hAnsi="Arial"/>
          <w:sz w:val="22"/>
          <w:szCs w:val="22"/>
        </w:rPr>
      </w:pPr>
      <w:r>
        <w:rPr>
          <w:rFonts w:cs="Times New Roman" w:ascii="Arial" w:hAnsi="Arial"/>
          <w:color w:val="auto"/>
          <w:sz w:val="22"/>
          <w:szCs w:val="22"/>
          <w:lang w:val="pl-PL"/>
        </w:rPr>
        <w:t>XXII. OSOBY DO KONTAKTU I DODATKOWE INFORMACJE</w:t>
      </w:r>
    </w:p>
    <w:p>
      <w:pPr>
        <w:pStyle w:val="ListParagraph"/>
        <w:numPr>
          <w:ilvl w:val="0"/>
          <w:numId w:val="28"/>
        </w:numPr>
        <w:jc w:val="both"/>
        <w:rPr>
          <w:sz w:val="20"/>
          <w:szCs w:val="20"/>
        </w:rPr>
      </w:pPr>
      <w:r>
        <w:rPr>
          <w:rFonts w:cs="Times New Roman" w:ascii="Arial" w:hAnsi="Arial"/>
          <w:sz w:val="20"/>
          <w:szCs w:val="20"/>
          <w:lang w:val="pl-PL"/>
        </w:rPr>
        <w:t xml:space="preserve">Osobami upoważnionymi do kontaktowania się z Wykonawcami są: </w:t>
      </w:r>
    </w:p>
    <w:p>
      <w:pPr>
        <w:pStyle w:val="ListParagraph"/>
        <w:spacing w:lineRule="auto" w:line="276"/>
        <w:ind w:firstLine="737" w:left="0"/>
        <w:jc w:val="both"/>
        <w:rPr>
          <w:sz w:val="20"/>
          <w:szCs w:val="20"/>
        </w:rPr>
      </w:pPr>
      <w:r>
        <w:rPr>
          <w:rFonts w:cs="Times New Roman" w:ascii="Arial" w:hAnsi="Arial"/>
          <w:sz w:val="20"/>
          <w:szCs w:val="20"/>
          <w:lang w:val="pl-PL"/>
        </w:rPr>
        <w:t>-  p. Edyta Bąk, tel. (41) 370-50-08;</w:t>
      </w:r>
    </w:p>
    <w:p>
      <w:pPr>
        <w:pStyle w:val="ListParagraph"/>
        <w:jc w:val="both"/>
        <w:rPr>
          <w:sz w:val="20"/>
          <w:szCs w:val="20"/>
        </w:rPr>
      </w:pPr>
      <w:r>
        <w:rPr>
          <w:rFonts w:cs="Times New Roman" w:ascii="Arial" w:hAnsi="Arial"/>
          <w:sz w:val="20"/>
          <w:szCs w:val="20"/>
          <w:lang w:val="pl-PL"/>
        </w:rPr>
        <w:t>-  p. Tadeusz Sempioł, tel  (41) 370-50-28.</w:t>
      </w:r>
    </w:p>
    <w:p>
      <w:pPr>
        <w:pStyle w:val="ListParagraph"/>
        <w:numPr>
          <w:ilvl w:val="0"/>
          <w:numId w:val="28"/>
        </w:numPr>
        <w:jc w:val="both"/>
        <w:rPr>
          <w:sz w:val="20"/>
          <w:szCs w:val="20"/>
        </w:rPr>
      </w:pPr>
      <w:r>
        <w:rPr>
          <w:rFonts w:cs="Times New Roman" w:ascii="Arial" w:hAnsi="Arial"/>
          <w:sz w:val="20"/>
          <w:szCs w:val="20"/>
          <w:lang w:val="pl-PL"/>
        </w:rPr>
        <w:t>Zamawiający nie dopuszcza składania ofert częściowych i wariantowych.</w:t>
      </w:r>
    </w:p>
    <w:p>
      <w:pPr>
        <w:pStyle w:val="ListParagraph"/>
        <w:numPr>
          <w:ilvl w:val="0"/>
          <w:numId w:val="28"/>
        </w:numPr>
        <w:jc w:val="both"/>
        <w:rPr>
          <w:sz w:val="20"/>
          <w:szCs w:val="20"/>
        </w:rPr>
      </w:pPr>
      <w:r>
        <w:rPr>
          <w:rFonts w:cs="Times New Roman" w:ascii="Arial" w:hAnsi="Arial"/>
          <w:sz w:val="20"/>
          <w:szCs w:val="20"/>
          <w:lang w:val="pl-PL"/>
        </w:rPr>
        <w:t>Niniejsze Zaproszenie do złożenia oferty nie stanowi zobowiązania Powiatu Buskiego do zawarcia umowy.</w:t>
      </w:r>
    </w:p>
    <w:p>
      <w:pPr>
        <w:pStyle w:val="ListParagraph"/>
        <w:numPr>
          <w:ilvl w:val="0"/>
          <w:numId w:val="28"/>
        </w:numPr>
        <w:jc w:val="both"/>
        <w:rPr>
          <w:sz w:val="20"/>
          <w:szCs w:val="20"/>
        </w:rPr>
      </w:pPr>
      <w:r>
        <w:rPr>
          <w:rFonts w:cs="Times New Roman" w:ascii="Arial" w:hAnsi="Arial"/>
          <w:sz w:val="20"/>
          <w:szCs w:val="20"/>
          <w:lang w:val="pl-PL"/>
        </w:rPr>
        <w:t>W przypadku gdy Wykonawca, którego oferta została wybrana, nie stawi się do zawarcia umowy albo odmówi jej podpisania, Zamawiający może wybrać kolejną najkorzystniejszą ofertę spośród ofert niepodlegających odrzuceniu albo unieważnić postępowanie.</w:t>
      </w:r>
    </w:p>
    <w:p>
      <w:pPr>
        <w:pStyle w:val="Heading1"/>
        <w:spacing w:before="120" w:after="60"/>
        <w:rPr>
          <w:rFonts w:ascii="Arial" w:hAnsi="Arial"/>
          <w:sz w:val="22"/>
          <w:szCs w:val="22"/>
        </w:rPr>
      </w:pPr>
      <w:r>
        <w:rPr>
          <w:rFonts w:cs="Times New Roman" w:ascii="Arial" w:hAnsi="Arial"/>
          <w:color w:val="auto"/>
          <w:sz w:val="22"/>
          <w:szCs w:val="22"/>
          <w:lang w:val="pl-PL"/>
        </w:rPr>
        <w:t>XXIII. WYKAZ DOKUMENTÓW SKŁADANYCH WRAZ Z OFERTĄ</w:t>
      </w:r>
    </w:p>
    <w:p>
      <w:pPr>
        <w:pStyle w:val="ListParagraph"/>
        <w:numPr>
          <w:ilvl w:val="0"/>
          <w:numId w:val="29"/>
        </w:numPr>
        <w:jc w:val="both"/>
        <w:rPr>
          <w:sz w:val="20"/>
          <w:szCs w:val="20"/>
        </w:rPr>
      </w:pPr>
      <w:r>
        <w:rPr>
          <w:rFonts w:cs="Times New Roman" w:ascii="Arial" w:hAnsi="Arial"/>
          <w:sz w:val="20"/>
          <w:szCs w:val="20"/>
          <w:lang w:val="pl-PL"/>
        </w:rPr>
        <w:t>Formularz oferty - załącznik nr 1;</w:t>
      </w:r>
    </w:p>
    <w:p>
      <w:pPr>
        <w:pStyle w:val="ListParagraph"/>
        <w:numPr>
          <w:ilvl w:val="0"/>
          <w:numId w:val="29"/>
        </w:numPr>
        <w:jc w:val="both"/>
        <w:rPr>
          <w:sz w:val="20"/>
          <w:szCs w:val="20"/>
        </w:rPr>
      </w:pPr>
      <w:r>
        <w:rPr>
          <w:rFonts w:cs="Times New Roman" w:ascii="Arial" w:hAnsi="Arial"/>
          <w:sz w:val="20"/>
          <w:szCs w:val="20"/>
          <w:lang w:val="pl-PL"/>
        </w:rPr>
        <w:t>Oświadczenie Wykonawcy/Podmiotu udostępniającego zasoby o spełnianiu warunków udziału i braku podstaw wykluczenia - załącznik nr 3;</w:t>
      </w:r>
    </w:p>
    <w:p>
      <w:pPr>
        <w:pStyle w:val="ListParagraph"/>
        <w:numPr>
          <w:ilvl w:val="0"/>
          <w:numId w:val="29"/>
        </w:numPr>
        <w:jc w:val="both"/>
        <w:rPr>
          <w:sz w:val="20"/>
          <w:szCs w:val="20"/>
        </w:rPr>
      </w:pPr>
      <w:r>
        <w:rPr>
          <w:rFonts w:ascii="Arial" w:hAnsi="Arial"/>
          <w:sz w:val="20"/>
          <w:szCs w:val="20"/>
          <w:lang w:val="pl-PL" w:eastAsia="en-US"/>
        </w:rPr>
        <w:t>zobowiązanie podmiotu udostępniającego zasoby - załącznik nr 4, jeżeli dotyczy;</w:t>
      </w:r>
    </w:p>
    <w:p>
      <w:pPr>
        <w:pStyle w:val="ListParagraph"/>
        <w:numPr>
          <w:ilvl w:val="0"/>
          <w:numId w:val="29"/>
        </w:numPr>
        <w:jc w:val="both"/>
        <w:rPr>
          <w:sz w:val="20"/>
          <w:szCs w:val="20"/>
        </w:rPr>
      </w:pPr>
      <w:r>
        <w:rPr>
          <w:rFonts w:cs="Times New Roman" w:ascii="Arial" w:hAnsi="Arial"/>
          <w:sz w:val="20"/>
          <w:szCs w:val="20"/>
          <w:lang w:val="pl-PL"/>
        </w:rPr>
        <w:t>pełnomocnictwo - jeżeli ofertę podpisuje pełnomocnik;</w:t>
      </w:r>
    </w:p>
    <w:p>
      <w:pPr>
        <w:pStyle w:val="ListParagraph"/>
        <w:numPr>
          <w:ilvl w:val="0"/>
          <w:numId w:val="29"/>
        </w:numPr>
        <w:jc w:val="both"/>
        <w:rPr>
          <w:sz w:val="20"/>
          <w:szCs w:val="20"/>
        </w:rPr>
      </w:pPr>
      <w:r>
        <w:rPr>
          <w:rFonts w:cs="Times New Roman" w:ascii="Arial" w:hAnsi="Arial"/>
          <w:sz w:val="20"/>
          <w:szCs w:val="20"/>
          <w:lang w:val="pl-PL"/>
        </w:rPr>
        <w:t>oświadczenie wykonawców wspólnie ubiegających się o zamówienie - załącznik nr 5, jeżeli dotyczy;</w:t>
      </w:r>
    </w:p>
    <w:p>
      <w:pPr>
        <w:pStyle w:val="ListParagraph"/>
        <w:numPr>
          <w:ilvl w:val="0"/>
          <w:numId w:val="29"/>
        </w:numPr>
        <w:jc w:val="both"/>
        <w:rPr>
          <w:sz w:val="20"/>
          <w:szCs w:val="20"/>
        </w:rPr>
      </w:pPr>
      <w:r>
        <w:rPr>
          <w:rFonts w:cs="Times New Roman" w:ascii="Arial" w:hAnsi="Arial"/>
          <w:sz w:val="20"/>
          <w:szCs w:val="20"/>
          <w:lang w:val="pl-PL"/>
        </w:rPr>
        <w:t>oświadczenie o podwykonawcach - załącznik nr 6;</w:t>
      </w:r>
    </w:p>
    <w:p>
      <w:pPr>
        <w:pStyle w:val="ListParagraph"/>
        <w:numPr>
          <w:ilvl w:val="0"/>
          <w:numId w:val="29"/>
        </w:numPr>
        <w:jc w:val="both"/>
        <w:rPr>
          <w:rFonts w:ascii="Arial" w:hAnsi="Arial"/>
          <w:sz w:val="22"/>
          <w:szCs w:val="22"/>
        </w:rPr>
      </w:pPr>
      <w:r>
        <w:rPr>
          <w:rFonts w:cs="Times New Roman" w:ascii="Arial" w:hAnsi="Arial"/>
          <w:sz w:val="20"/>
          <w:szCs w:val="20"/>
          <w:lang w:val="pl-PL" w:eastAsia="en-US"/>
        </w:rPr>
        <w:t xml:space="preserve">dokument potwierdzający wniesienie wadium - </w:t>
      </w:r>
      <w:r>
        <w:rPr>
          <w:rFonts w:ascii="Arial" w:hAnsi="Arial"/>
          <w:sz w:val="20"/>
          <w:szCs w:val="20"/>
          <w:lang w:val="pl-PL" w:eastAsia="en-US"/>
        </w:rPr>
        <w:t>oryginał wniesienia wadium, jeżeli zabezpieczenie wadialne zostało wniesione w formie niepieniężnej.</w:t>
      </w:r>
      <w:r>
        <w:rPr>
          <w:rFonts w:ascii="Arial" w:hAnsi="Arial"/>
          <w:sz w:val="22"/>
          <w:szCs w:val="22"/>
          <w:lang w:val="pl-PL" w:eastAsia="en-US"/>
        </w:rPr>
        <w:t xml:space="preserve"> </w:t>
      </w:r>
    </w:p>
    <w:p>
      <w:pPr>
        <w:pStyle w:val="Heading1"/>
        <w:spacing w:before="120" w:after="60"/>
        <w:rPr>
          <w:rFonts w:ascii="Arial" w:hAnsi="Arial"/>
          <w:sz w:val="22"/>
          <w:szCs w:val="22"/>
        </w:rPr>
      </w:pPr>
      <w:r>
        <w:rPr>
          <w:rFonts w:cs="Times New Roman" w:ascii="Arial" w:hAnsi="Arial"/>
          <w:color w:val="auto"/>
          <w:sz w:val="22"/>
          <w:szCs w:val="22"/>
          <w:lang w:val="pl-PL"/>
        </w:rPr>
        <w:t>XXIV. WYKAZ ZAŁĄCZNIKÓW.</w:t>
      </w:r>
    </w:p>
    <w:p>
      <w:pPr>
        <w:pStyle w:val="Normal"/>
        <w:spacing w:lineRule="auto" w:line="276"/>
        <w:ind w:hanging="170" w:left="340"/>
        <w:rPr>
          <w:sz w:val="20"/>
          <w:szCs w:val="20"/>
        </w:rPr>
      </w:pPr>
      <w:r>
        <w:rPr>
          <w:rFonts w:cs="Times New Roman" w:ascii="Arial" w:hAnsi="Arial"/>
          <w:sz w:val="20"/>
          <w:szCs w:val="20"/>
          <w:lang w:val="pl-PL"/>
        </w:rPr>
        <w:t>Załącznik nr 1 -  Formularz oferty.</w:t>
      </w:r>
    </w:p>
    <w:p>
      <w:pPr>
        <w:pStyle w:val="Normal"/>
        <w:spacing w:lineRule="auto" w:line="276"/>
        <w:ind w:hanging="170" w:left="340"/>
        <w:rPr>
          <w:sz w:val="20"/>
          <w:szCs w:val="20"/>
        </w:rPr>
      </w:pPr>
      <w:r>
        <w:rPr>
          <w:rFonts w:cs="Times New Roman" w:ascii="Arial" w:hAnsi="Arial"/>
          <w:sz w:val="20"/>
          <w:szCs w:val="20"/>
          <w:lang w:val="pl-PL"/>
        </w:rPr>
        <w:t>Załącznik nr 2 -  Wzór umowy.</w:t>
      </w:r>
    </w:p>
    <w:p>
      <w:pPr>
        <w:pStyle w:val="Normal"/>
        <w:widowControl/>
        <w:suppressAutoHyphens w:val="true"/>
        <w:bidi w:val="0"/>
        <w:spacing w:lineRule="auto" w:line="276" w:before="0" w:after="0"/>
        <w:ind w:hanging="1757" w:left="1928" w:right="0"/>
        <w:jc w:val="left"/>
        <w:rPr>
          <w:sz w:val="20"/>
          <w:szCs w:val="20"/>
        </w:rPr>
      </w:pPr>
      <w:r>
        <w:rPr>
          <w:rFonts w:cs="Times New Roman" w:ascii="Arial" w:hAnsi="Arial"/>
          <w:sz w:val="20"/>
          <w:szCs w:val="20"/>
          <w:lang w:val="pl-PL"/>
        </w:rPr>
        <w:t xml:space="preserve">Załącznik nr 3 -  Oświadczenie Wykonawcy/Podmiotu udostępniającego zasoby o spełnieniu  warunków udziału  w postępowaniu oraz podstawach wykluczenia </w:t>
      </w:r>
    </w:p>
    <w:p>
      <w:pPr>
        <w:pStyle w:val="Normal"/>
        <w:spacing w:lineRule="auto" w:line="276"/>
        <w:ind w:hanging="170" w:left="340"/>
        <w:rPr>
          <w:sz w:val="20"/>
          <w:szCs w:val="20"/>
        </w:rPr>
      </w:pPr>
      <w:r>
        <w:rPr>
          <w:rFonts w:ascii="Arial" w:hAnsi="Arial"/>
          <w:sz w:val="20"/>
          <w:szCs w:val="20"/>
          <w:lang w:val="pl-PL" w:eastAsia="en-US"/>
        </w:rPr>
        <w:t>Załącznik nr 4 -  Zobowiązanie podmiotu udostępniającego zasoby.</w:t>
      </w:r>
    </w:p>
    <w:p>
      <w:pPr>
        <w:pStyle w:val="Normal"/>
        <w:widowControl/>
        <w:suppressAutoHyphens w:val="true"/>
        <w:bidi w:val="0"/>
        <w:spacing w:lineRule="auto" w:line="276" w:before="0" w:after="0"/>
        <w:ind w:hanging="1757" w:left="1928" w:right="0"/>
        <w:jc w:val="left"/>
        <w:rPr>
          <w:sz w:val="20"/>
          <w:szCs w:val="20"/>
        </w:rPr>
      </w:pPr>
      <w:r>
        <w:rPr>
          <w:rFonts w:cs="Times New Roman" w:ascii="Arial" w:hAnsi="Arial"/>
          <w:sz w:val="20"/>
          <w:szCs w:val="20"/>
          <w:lang w:val="pl-PL"/>
        </w:rPr>
        <w:t>Załącznik nr 5 -  Oświadczenie Wykonawców wspólnie ubiegających się o udzielenie  zamówienia.</w:t>
      </w:r>
    </w:p>
    <w:p>
      <w:pPr>
        <w:pStyle w:val="Normal"/>
        <w:spacing w:lineRule="auto" w:line="276"/>
        <w:ind w:hanging="170" w:left="340"/>
        <w:rPr>
          <w:sz w:val="20"/>
          <w:szCs w:val="20"/>
        </w:rPr>
      </w:pPr>
      <w:r>
        <w:rPr>
          <w:rFonts w:cs="Times New Roman" w:ascii="Arial" w:hAnsi="Arial"/>
          <w:sz w:val="20"/>
          <w:szCs w:val="20"/>
          <w:lang w:val="pl-PL"/>
        </w:rPr>
        <w:t>Załącznik nr 6 -  Oświadczenie o podwykonawcach.</w:t>
      </w:r>
    </w:p>
    <w:p>
      <w:pPr>
        <w:pStyle w:val="Normal"/>
        <w:spacing w:lineRule="auto" w:line="276"/>
        <w:ind w:hanging="170" w:left="340"/>
        <w:rPr>
          <w:sz w:val="20"/>
          <w:szCs w:val="20"/>
        </w:rPr>
      </w:pPr>
      <w:r>
        <w:rPr>
          <w:rFonts w:cs="Times New Roman" w:ascii="Arial" w:hAnsi="Arial"/>
          <w:sz w:val="20"/>
          <w:szCs w:val="20"/>
          <w:lang w:val="pl-PL"/>
        </w:rPr>
        <w:t>Załącznik nr 7 – Szczegółowy opis przedmiotu zamówienia</w:t>
      </w:r>
    </w:p>
    <w:p>
      <w:pPr>
        <w:pStyle w:val="Normal"/>
        <w:widowControl/>
        <w:suppressAutoHyphens w:val="true"/>
        <w:bidi w:val="0"/>
        <w:spacing w:lineRule="auto" w:line="276" w:before="0" w:after="0"/>
        <w:ind w:hanging="1757" w:left="1928" w:right="0"/>
        <w:jc w:val="left"/>
        <w:rPr>
          <w:sz w:val="20"/>
          <w:szCs w:val="20"/>
        </w:rPr>
      </w:pPr>
      <w:r>
        <w:rPr>
          <w:rFonts w:cs="Times New Roman" w:ascii="Arial" w:hAnsi="Arial"/>
          <w:sz w:val="20"/>
          <w:szCs w:val="20"/>
          <w:lang w:val="pl-PL"/>
        </w:rPr>
        <w:t>Załącznik nr 8 -  Oświadczenie o bezstronności osób wykonujących czynności po stronie Zamawiającego.</w:t>
      </w:r>
    </w:p>
    <w:p>
      <w:pPr>
        <w:pStyle w:val="Default"/>
        <w:spacing w:lineRule="auto" w:line="276"/>
        <w:rPr>
          <w:sz w:val="20"/>
          <w:szCs w:val="20"/>
        </w:rPr>
      </w:pPr>
      <w:r>
        <w:rPr>
          <w:rFonts w:cs="Times New Roman" w:ascii="Arial" w:hAnsi="Arial"/>
          <w:sz w:val="20"/>
          <w:szCs w:val="20"/>
          <w:lang w:val="pl-PL"/>
        </w:rPr>
        <w:t xml:space="preserve">   </w:t>
      </w:r>
      <w:r>
        <w:rPr>
          <w:rFonts w:cs="Times New Roman" w:ascii="Arial" w:hAnsi="Arial"/>
          <w:sz w:val="20"/>
          <w:szCs w:val="20"/>
          <w:lang w:val="pl-PL"/>
        </w:rPr>
        <w:t xml:space="preserve">Załącznik nr 9 -  Wykaz osób </w:t>
      </w:r>
    </w:p>
    <w:p>
      <w:pPr>
        <w:pStyle w:val="Default"/>
        <w:spacing w:lineRule="auto" w:line="276"/>
        <w:rPr>
          <w:sz w:val="20"/>
          <w:szCs w:val="20"/>
        </w:rPr>
      </w:pPr>
      <w:r>
        <w:rPr>
          <w:rFonts w:cs="Times New Roman" w:ascii="Arial" w:hAnsi="Arial"/>
          <w:sz w:val="20"/>
          <w:szCs w:val="20"/>
          <w:lang w:val="pl-PL"/>
        </w:rPr>
        <w:t xml:space="preserve">   </w:t>
      </w:r>
      <w:r>
        <w:rPr>
          <w:rFonts w:cs="Times New Roman" w:ascii="Arial" w:hAnsi="Arial"/>
          <w:sz w:val="20"/>
          <w:szCs w:val="20"/>
          <w:lang w:val="pl-PL"/>
        </w:rPr>
        <w:t xml:space="preserve">Załącznik nr 10 – Wykaz robót </w:t>
      </w:r>
    </w:p>
    <w:p>
      <w:pPr>
        <w:pStyle w:val="Default"/>
        <w:spacing w:lineRule="auto" w:line="276"/>
        <w:rPr>
          <w:rFonts w:ascii="Arial" w:hAnsi="Arial" w:cs="Times New Roman"/>
          <w:lang w:val="pl-PL"/>
        </w:rPr>
      </w:pPr>
      <w:r>
        <w:rPr>
          <w:sz w:val="20"/>
          <w:szCs w:val="20"/>
        </w:rPr>
      </w:r>
    </w:p>
    <w:p>
      <w:pPr>
        <w:pStyle w:val="Default"/>
        <w:spacing w:lineRule="auto" w:line="276"/>
        <w:rPr>
          <w:rFonts w:ascii="Arial" w:hAnsi="Arial" w:cs="Times New Roman"/>
          <w:sz w:val="22"/>
          <w:szCs w:val="22"/>
          <w:lang w:val="pl-PL"/>
        </w:rPr>
      </w:pPr>
      <w:r>
        <w:rPr>
          <w:rFonts w:cs="Times New Roman" w:ascii="Arial" w:hAnsi="Arial"/>
          <w:sz w:val="22"/>
          <w:szCs w:val="22"/>
          <w:lang w:val="pl-PL"/>
        </w:rPr>
      </w:r>
    </w:p>
    <w:p>
      <w:pPr>
        <w:pStyle w:val="Normal"/>
        <w:jc w:val="right"/>
        <w:rPr>
          <w:rFonts w:ascii="Arial" w:hAnsi="Arial"/>
          <w:sz w:val="22"/>
          <w:szCs w:val="22"/>
          <w:lang w:val="pl-PL"/>
        </w:rPr>
      </w:pPr>
      <w:r>
        <w:rPr>
          <w:rFonts w:ascii="Arial" w:hAnsi="Arial"/>
          <w:sz w:val="22"/>
          <w:szCs w:val="22"/>
          <w:lang w:val="pl-PL"/>
        </w:rPr>
      </w:r>
    </w:p>
    <w:p>
      <w:pPr>
        <w:pStyle w:val="Normal"/>
        <w:jc w:val="left"/>
        <w:rPr>
          <w:rFonts w:ascii="Arial" w:hAnsi="Arial"/>
          <w:sz w:val="22"/>
          <w:szCs w:val="22"/>
        </w:rPr>
      </w:pPr>
      <w:r>
        <w:rPr>
          <w:rFonts w:cs="Times New Roman" w:ascii="Arial" w:hAnsi="Arial"/>
          <w:sz w:val="22"/>
          <w:szCs w:val="22"/>
          <w:lang w:val="pl-PL"/>
        </w:rPr>
        <w:tab/>
        <w:tab/>
        <w:tab/>
        <w:tab/>
        <w:tab/>
        <w:tab/>
        <w:tab/>
        <w:tab/>
        <w:tab/>
        <w:tab/>
        <w:t xml:space="preserve">       ZATWIERDZAM:</w:t>
      </w:r>
    </w:p>
    <w:p>
      <w:pPr>
        <w:pStyle w:val="Normal"/>
        <w:jc w:val="center"/>
        <w:rPr>
          <w:rFonts w:ascii="Arial" w:hAnsi="Arial"/>
          <w:sz w:val="22"/>
          <w:szCs w:val="22"/>
          <w:lang w:val="pl-PL"/>
        </w:rPr>
      </w:pPr>
      <w:r>
        <w:rPr>
          <w:rFonts w:ascii="Arial" w:hAnsi="Arial"/>
          <w:sz w:val="22"/>
          <w:szCs w:val="22"/>
          <w:lang w:val="pl-PL"/>
        </w:rPr>
      </w:r>
    </w:p>
    <w:p>
      <w:pPr>
        <w:pStyle w:val="Normal"/>
        <w:jc w:val="center"/>
        <w:rPr>
          <w:rFonts w:ascii="Arial" w:hAnsi="Arial" w:cs="Times New Roman"/>
          <w:sz w:val="22"/>
          <w:szCs w:val="22"/>
          <w:lang w:val="pl-PL"/>
        </w:rPr>
      </w:pPr>
      <w:r>
        <w:rPr>
          <w:rFonts w:cs="Times New Roman" w:ascii="Arial" w:hAnsi="Arial"/>
          <w:sz w:val="22"/>
          <w:szCs w:val="22"/>
          <w:lang w:val="pl-PL"/>
        </w:rPr>
      </w:r>
    </w:p>
    <w:p>
      <w:pPr>
        <w:pStyle w:val="Normal"/>
        <w:jc w:val="center"/>
        <w:rPr>
          <w:rFonts w:ascii="Arial" w:hAnsi="Arial" w:cs="Times New Roman"/>
          <w:sz w:val="22"/>
          <w:szCs w:val="22"/>
          <w:lang w:val="pl-PL"/>
        </w:rPr>
      </w:pPr>
      <w:r>
        <w:rPr>
          <w:rFonts w:cs="Times New Roman" w:ascii="Arial" w:hAnsi="Arial"/>
          <w:sz w:val="22"/>
          <w:szCs w:val="22"/>
          <w:lang w:val="pl-PL"/>
        </w:rPr>
      </w:r>
    </w:p>
    <w:p>
      <w:pPr>
        <w:pStyle w:val="Normal"/>
        <w:jc w:val="center"/>
        <w:rPr>
          <w:rFonts w:ascii="Arial" w:hAnsi="Arial" w:cs="Times New Roman"/>
          <w:sz w:val="22"/>
          <w:szCs w:val="22"/>
          <w:lang w:val="pl-PL"/>
        </w:rPr>
      </w:pPr>
      <w:r>
        <w:rPr>
          <w:rFonts w:cs="Times New Roman" w:ascii="Arial" w:hAnsi="Arial"/>
          <w:sz w:val="22"/>
          <w:szCs w:val="22"/>
          <w:lang w:val="pl-PL"/>
        </w:rPr>
      </w:r>
    </w:p>
    <w:p>
      <w:pPr>
        <w:pStyle w:val="Normal"/>
        <w:jc w:val="center"/>
        <w:rPr>
          <w:rFonts w:ascii="Arial" w:hAnsi="Arial" w:cs="Times New Roman"/>
          <w:sz w:val="22"/>
          <w:szCs w:val="22"/>
          <w:lang w:val="pl-PL"/>
        </w:rPr>
      </w:pPr>
      <w:r>
        <w:rPr>
          <w:rFonts w:cs="Times New Roman" w:ascii="Arial" w:hAnsi="Arial"/>
          <w:sz w:val="22"/>
          <w:szCs w:val="22"/>
          <w:lang w:val="pl-PL"/>
        </w:rPr>
        <w:br/>
        <w:tab/>
        <w:tab/>
        <w:tab/>
        <w:tab/>
        <w:tab/>
        <w:tab/>
        <w:tab/>
        <w:tab/>
        <w:tab/>
        <w:tab/>
        <w:t>........................................</w:t>
        <w:br/>
        <w:tab/>
        <w:tab/>
        <w:tab/>
        <w:tab/>
        <w:tab/>
        <w:tab/>
        <w:tab/>
        <w:tab/>
        <w:tab/>
        <w:tab/>
        <w:t xml:space="preserve">Przewodniczący Zarządu </w:t>
        <w:br/>
        <w:tab/>
        <w:tab/>
        <w:tab/>
        <w:tab/>
        <w:tab/>
        <w:tab/>
        <w:tab/>
        <w:tab/>
        <w:tab/>
        <w:tab/>
        <w:t>Jerzy Kolarz</w:t>
      </w:r>
    </w:p>
    <w:p>
      <w:pPr>
        <w:pStyle w:val="Heading1"/>
        <w:spacing w:before="120" w:after="60"/>
        <w:rPr>
          <w:rFonts w:ascii="Arial" w:hAnsi="Arial"/>
          <w:sz w:val="22"/>
          <w:szCs w:val="22"/>
          <w:lang w:val="pl-PL"/>
        </w:rPr>
      </w:pPr>
      <w:r>
        <w:rPr>
          <w:rFonts w:ascii="Arial" w:hAnsi="Arial"/>
          <w:sz w:val="22"/>
          <w:szCs w:val="22"/>
          <w:lang w:val="pl-PL"/>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r>
    </w:p>
    <w:p>
      <w:pPr>
        <w:pStyle w:val="BodyText"/>
        <w:jc w:val="center"/>
        <w:rPr>
          <w:rFonts w:ascii="Arial" w:hAnsi="Arial"/>
          <w:sz w:val="18"/>
          <w:szCs w:val="18"/>
        </w:rPr>
      </w:pPr>
      <w:r>
        <w:rPr>
          <w:rFonts w:ascii="Arial" w:hAnsi="Arial"/>
          <w:b/>
          <w:bCs/>
          <w:sz w:val="18"/>
          <w:szCs w:val="18"/>
          <w:lang w:val="pl-PL" w:eastAsia="en-US"/>
        </w:rPr>
        <w:t xml:space="preserve">KLAUZULA INFORMACYJNA RODO </w:t>
      </w:r>
    </w:p>
    <w:p>
      <w:pPr>
        <w:pStyle w:val="BodyText"/>
        <w:jc w:val="both"/>
        <w:rPr>
          <w:rFonts w:ascii="Arial" w:hAnsi="Arial"/>
          <w:sz w:val="18"/>
          <w:szCs w:val="18"/>
        </w:rPr>
      </w:pPr>
      <w:r>
        <w:rPr>
          <w:rFonts w:ascii="Arial" w:hAnsi="Arial"/>
          <w:sz w:val="18"/>
          <w:szCs w:val="18"/>
          <w:lang w:val="pl-PL" w:eastAsia="en-US" w:bidi="ar-SA"/>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pPr>
        <w:pStyle w:val="BodyText"/>
        <w:spacing w:before="0" w:after="6"/>
        <w:jc w:val="both"/>
        <w:rPr>
          <w:rFonts w:ascii="Arial" w:hAnsi="Arial"/>
          <w:sz w:val="18"/>
          <w:szCs w:val="18"/>
        </w:rPr>
      </w:pPr>
      <w:r>
        <w:rPr>
          <w:rFonts w:ascii="Arial" w:hAnsi="Arial"/>
          <w:b w:val="false"/>
          <w:strike w:val="false"/>
          <w:dstrike w:val="false"/>
          <w:sz w:val="18"/>
          <w:szCs w:val="18"/>
          <w:u w:val="none"/>
        </w:rPr>
        <w:t xml:space="preserve"> </w:t>
      </w:r>
      <w:r>
        <w:rPr>
          <w:rFonts w:ascii="Arial" w:hAnsi="Arial"/>
          <w:b w:val="false"/>
          <w:strike w:val="false"/>
          <w:dstrike w:val="false"/>
          <w:sz w:val="18"/>
          <w:szCs w:val="18"/>
          <w:u w:val="none"/>
          <w:lang w:val="pl-PL" w:eastAsia="en-US" w:bidi="ar-SA"/>
        </w:rPr>
        <w:t xml:space="preserve">administratorem Pani/Pana danych osobowych jest </w:t>
      </w:r>
      <w:r>
        <w:rPr>
          <w:rFonts w:ascii="Arial" w:hAnsi="Arial"/>
          <w:b/>
          <w:i/>
          <w:strike w:val="false"/>
          <w:dstrike w:val="false"/>
          <w:sz w:val="18"/>
          <w:szCs w:val="18"/>
          <w:u w:val="none"/>
          <w:lang w:val="pl-PL" w:eastAsia="en-US" w:bidi="ar-SA"/>
        </w:rPr>
        <w:t>Starosta Buski;</w:t>
      </w:r>
    </w:p>
    <w:p>
      <w:pPr>
        <w:pStyle w:val="Normalny"/>
        <w:widowControl/>
        <w:numPr>
          <w:ilvl w:val="2"/>
          <w:numId w:val="30"/>
        </w:numPr>
        <w:tabs>
          <w:tab w:val="clear" w:pos="720"/>
        </w:tabs>
        <w:suppressAutoHyphens w:val="true"/>
        <w:bidi w:val="0"/>
        <w:spacing w:lineRule="auto" w:line="276" w:before="0" w:after="0"/>
        <w:ind w:hanging="283" w:left="283" w:right="0"/>
        <w:jc w:val="both"/>
        <w:rPr/>
      </w:pPr>
      <w:r>
        <w:rPr>
          <w:rStyle w:val="Domylnaczcionkaakapitu"/>
          <w:rFonts w:ascii="Arial" w:hAnsi="Arial"/>
          <w:sz w:val="18"/>
          <w:szCs w:val="18"/>
          <w:lang w:val="pl-PL" w:eastAsia="pl-PL"/>
        </w:rPr>
        <w:t>z administratorem można się skontaktować pod:</w:t>
      </w:r>
    </w:p>
    <w:p>
      <w:pPr>
        <w:pStyle w:val="Normalny"/>
        <w:widowControl/>
        <w:numPr>
          <w:ilvl w:val="0"/>
          <w:numId w:val="0"/>
        </w:numPr>
        <w:tabs>
          <w:tab w:val="clear" w:pos="720"/>
        </w:tabs>
        <w:suppressAutoHyphens w:val="true"/>
        <w:bidi w:val="0"/>
        <w:spacing w:lineRule="auto" w:line="276" w:before="0" w:after="0"/>
        <w:ind w:hanging="0" w:left="283" w:right="0"/>
        <w:jc w:val="both"/>
        <w:rPr/>
      </w:pPr>
      <w:r>
        <w:rPr>
          <w:rStyle w:val="Domylnaczcionkaakapitu"/>
          <w:rFonts w:ascii="Arial" w:hAnsi="Arial"/>
          <w:sz w:val="18"/>
          <w:szCs w:val="18"/>
          <w:lang w:val="pl-PL" w:eastAsia="pl-PL"/>
        </w:rPr>
        <w:t xml:space="preserve">- </w:t>
      </w:r>
      <w:r>
        <w:rPr>
          <w:rStyle w:val="Domylnaczcionkaakapitu"/>
          <w:rFonts w:cs="Liberation Serif" w:ascii="Arial" w:hAnsi="Arial"/>
          <w:sz w:val="18"/>
          <w:szCs w:val="18"/>
          <w:lang w:val="pl-PL" w:eastAsia="pl-PL"/>
        </w:rPr>
        <w:t>adresem korespondencyjnym: Al. Mickiewicza 15, 28-100 Busko – Zdrój;</w:t>
      </w:r>
    </w:p>
    <w:p>
      <w:pPr>
        <w:pStyle w:val="Normalny"/>
        <w:widowControl/>
        <w:numPr>
          <w:ilvl w:val="0"/>
          <w:numId w:val="0"/>
        </w:numPr>
        <w:tabs>
          <w:tab w:val="clear" w:pos="720"/>
        </w:tabs>
        <w:suppressAutoHyphens w:val="true"/>
        <w:bidi w:val="0"/>
        <w:spacing w:lineRule="auto" w:line="276" w:before="57" w:after="57"/>
        <w:ind w:hanging="0" w:left="283" w:right="0"/>
        <w:jc w:val="both"/>
        <w:rPr>
          <w:rFonts w:ascii="Arial" w:hAnsi="Arial"/>
          <w:sz w:val="18"/>
          <w:szCs w:val="18"/>
        </w:rPr>
      </w:pPr>
      <w:r>
        <w:rPr>
          <w:rFonts w:cs="Liberation Serif" w:ascii="Arial" w:hAnsi="Arial"/>
          <w:sz w:val="18"/>
          <w:szCs w:val="18"/>
          <w:lang w:val="pl-PL" w:eastAsia="pl-PL"/>
        </w:rPr>
        <w:t>- numerem telefonu 41 370 50 00;</w:t>
      </w:r>
    </w:p>
    <w:p>
      <w:pPr>
        <w:pStyle w:val="BodyText"/>
        <w:jc w:val="both"/>
        <w:rPr/>
      </w:pPr>
      <w:r>
        <w:rPr>
          <w:rFonts w:ascii="Arial" w:hAnsi="Arial"/>
          <w:b w:val="false"/>
          <w:i w:val="false"/>
          <w:strike w:val="false"/>
          <w:dstrike w:val="false"/>
          <w:sz w:val="18"/>
          <w:szCs w:val="18"/>
          <w:u w:val="none"/>
          <w:lang w:val="pl-PL" w:eastAsia="en-US" w:bidi="ar-SA"/>
        </w:rPr>
        <w:t xml:space="preserve"> </w:t>
      </w:r>
      <w:r>
        <w:rPr>
          <w:rStyle w:val="Domylnaczcionkaakapitu"/>
          <w:rFonts w:ascii="Arial" w:hAnsi="Arial"/>
          <w:b w:val="false"/>
          <w:bCs w:val="false"/>
          <w:i w:val="false"/>
          <w:iCs w:val="false"/>
          <w:strike w:val="false"/>
          <w:dstrike w:val="false"/>
          <w:sz w:val="18"/>
          <w:szCs w:val="18"/>
          <w:u w:val="none"/>
          <w:lang w:val="pl-PL" w:eastAsia="en-US" w:bidi="ar-SA"/>
        </w:rPr>
        <w:t>administrator wyznaczył inspektora ochrony danych osobowych, z którym można się skontaktować w sprawach dotyczących przetwarzania danych osobowych e-mail: iod@powiat.busko.pl;</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w:t>
      </w:r>
      <w:r>
        <w:rPr>
          <w:rFonts w:ascii="Arial" w:hAnsi="Arial"/>
          <w:b w:val="false"/>
          <w:i w:val="false"/>
          <w:strike w:val="false"/>
          <w:dstrike w:val="false"/>
          <w:sz w:val="18"/>
          <w:szCs w:val="18"/>
          <w:u w:val="none"/>
          <w:lang w:val="pl-PL" w:eastAsia="en-US" w:bidi="ar-SA"/>
        </w:rPr>
        <w:t xml:space="preserve">Pani/Pana dane osobowe przetwarzane będą na podstawie art. 6 ust. 1 lit. c RODO w celu związanym z niniejszym postępowaniem o udzielenie zamówienia publicznego;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w:t>
      </w:r>
      <w:r>
        <w:rPr>
          <w:rFonts w:ascii="Arial" w:hAnsi="Arial"/>
          <w:b w:val="false"/>
          <w:i w:val="false"/>
          <w:strike w:val="false"/>
          <w:dstrike w:val="false"/>
          <w:sz w:val="18"/>
          <w:szCs w:val="18"/>
          <w:u w:val="none"/>
          <w:lang w:val="pl-PL" w:eastAsia="en-US" w:bidi="ar-SA"/>
        </w:rPr>
        <w:t xml:space="preserve">dane będą przetwarzane w celu przeprowadzenia i rozstrzygnięcia postępowania ofertowego oraz zawarcia i realizacji umowy;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w:t>
      </w:r>
      <w:r>
        <w:rPr>
          <w:rFonts w:ascii="Arial" w:hAnsi="Arial"/>
          <w:b w:val="false"/>
          <w:i w:val="false"/>
          <w:strike w:val="false"/>
          <w:dstrike w:val="false"/>
          <w:sz w:val="18"/>
          <w:szCs w:val="18"/>
          <w:u w:val="none"/>
          <w:lang w:val="pl-PL" w:eastAsia="en-US" w:bidi="ar-SA"/>
        </w:rPr>
        <w:t xml:space="preserve">dane będą przechowywane przez okres wymagany przepisami o narodowym zasobie archiwalnym i archiwach;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w:t>
      </w:r>
      <w:r>
        <w:rPr>
          <w:rFonts w:ascii="Arial" w:hAnsi="Arial"/>
          <w:b w:val="false"/>
          <w:i w:val="false"/>
          <w:strike w:val="false"/>
          <w:dstrike w:val="false"/>
          <w:sz w:val="18"/>
          <w:szCs w:val="18"/>
          <w:u w:val="none"/>
          <w:lang w:val="pl-PL" w:eastAsia="en-US" w:bidi="ar-SA"/>
        </w:rPr>
        <w:t xml:space="preserve">podanie danych jest obowiązkowe, gdy przesłanką przetwarzania jest przepis prawa;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w:t>
      </w:r>
      <w:r>
        <w:rPr>
          <w:rFonts w:ascii="Arial" w:hAnsi="Arial"/>
          <w:b w:val="false"/>
          <w:i w:val="false"/>
          <w:strike w:val="false"/>
          <w:dstrike w:val="false"/>
          <w:sz w:val="18"/>
          <w:szCs w:val="18"/>
          <w:u w:val="none"/>
          <w:lang w:val="pl-PL" w:eastAsia="en-US" w:bidi="ar-SA"/>
        </w:rPr>
        <w:t xml:space="preserve">dane nie będą przekazywane do państwa trzeciego ani organizacji międzynarodowej oraz nie będą podlegały zautomatyzowanemu podejmowaniu decyzji, w tym profilowaniu;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w:t>
      </w:r>
      <w:r>
        <w:rPr>
          <w:rFonts w:ascii="Arial" w:hAnsi="Arial"/>
          <w:b w:val="false"/>
          <w:i w:val="false"/>
          <w:strike w:val="false"/>
          <w:dstrike w:val="false"/>
          <w:sz w:val="18"/>
          <w:szCs w:val="18"/>
          <w:u w:val="none"/>
          <w:lang w:val="pl-PL" w:eastAsia="en-US" w:bidi="ar-SA"/>
        </w:rPr>
        <w:t xml:space="preserve">w odniesieniu do Pani/Pana danych osobowych decyzje nie będą podejmowane w sposób zautomatyzowany, stosownie do art. 22 RODO;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w:t>
      </w:r>
      <w:r>
        <w:rPr>
          <w:rFonts w:ascii="Arial" w:hAnsi="Arial"/>
          <w:b w:val="false"/>
          <w:i w:val="false"/>
          <w:strike w:val="false"/>
          <w:dstrike w:val="false"/>
          <w:sz w:val="18"/>
          <w:szCs w:val="18"/>
          <w:u w:val="none"/>
          <w:lang w:val="pl-PL" w:eastAsia="en-US" w:bidi="ar-SA"/>
        </w:rPr>
        <w:t xml:space="preserve">posiada Pani/Pan: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na podstawie art. 15 RODO prawo dostępu do danych osobowych Pani/Pana dotyczących;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na podstawie art. 16 RODO prawo do sprostowania Pani/Pana danych osobowych </w:t>
      </w:r>
      <w:r>
        <w:rPr>
          <w:rFonts w:ascii="Arial" w:hAnsi="Arial"/>
          <w:b/>
          <w:i w:val="false"/>
          <w:strike w:val="false"/>
          <w:dstrike w:val="false"/>
          <w:sz w:val="18"/>
          <w:szCs w:val="18"/>
          <w:u w:val="none"/>
          <w:lang w:val="pl-PL" w:eastAsia="en-US" w:bidi="ar-SA"/>
        </w:rPr>
        <w:t>**</w:t>
      </w:r>
      <w:r>
        <w:rPr>
          <w:rFonts w:ascii="Arial" w:hAnsi="Arial"/>
          <w:b w:val="false"/>
          <w:i w:val="false"/>
          <w:strike w:val="false"/>
          <w:dstrike w:val="false"/>
          <w:sz w:val="18"/>
          <w:szCs w:val="18"/>
          <w:u w:val="none"/>
          <w:lang w:val="pl-PL" w:eastAsia="en-US" w:bidi="ar-SA"/>
        </w:rPr>
        <w:t xml:space="preserve">;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na podstawie art. 18 RODO prawo żądania od administratora ograniczenia przetwarzania danych osobowych z zastrzeżeniem przypadków, o których mowa w art. 18 ust. 2 RODO ***;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prawo do wniesienia skargi do Prezesa Urzędu Ochrony Danych Osobowych, gdy uzna Pani/Pan, że przetwarzanie danych osobowych Pani/Pana dotyczących narusza przepisy RODO;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w:t>
      </w:r>
      <w:r>
        <w:rPr>
          <w:rFonts w:ascii="Arial" w:hAnsi="Arial"/>
          <w:b w:val="false"/>
          <w:i w:val="false"/>
          <w:strike w:val="false"/>
          <w:dstrike w:val="false"/>
          <w:sz w:val="18"/>
          <w:szCs w:val="18"/>
          <w:u w:val="none"/>
          <w:lang w:val="pl-PL" w:eastAsia="en-US" w:bidi="ar-SA"/>
        </w:rPr>
        <w:t xml:space="preserve">nie przysługuje Pani/Panu: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w związku z art. 17 ust. 3 lit. b, d lub e RODO prawo do usunięcia danych osobowych;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prawo do przenoszenia danych osobowych, o którym mowa w art. 20 RODO; </w:t>
      </w:r>
    </w:p>
    <w:p>
      <w:pPr>
        <w:pStyle w:val="BodyText"/>
        <w:spacing w:before="57" w:after="57"/>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w:t>
      </w:r>
      <w:r>
        <w:rPr>
          <w:rFonts w:ascii="Arial" w:hAnsi="Arial"/>
          <w:b/>
          <w:i w:val="false"/>
          <w:strike w:val="false"/>
          <w:dstrike w:val="false"/>
          <w:sz w:val="18"/>
          <w:szCs w:val="18"/>
          <w:u w:val="none"/>
          <w:lang w:val="pl-PL" w:eastAsia="en-US" w:bidi="ar-SA"/>
        </w:rPr>
        <w:t>na podstawie art. 21 RODO prawo sprzeciwu, wobec przetwarzania danych osobowych, gdyż podstawą prawną przetwarzania Pani/Pana danych osobowych jest art. 6 ust. 1 lit. c RODO</w:t>
      </w:r>
      <w:r>
        <w:rPr>
          <w:rFonts w:ascii="Arial" w:hAnsi="Arial"/>
          <w:b w:val="false"/>
          <w:i w:val="false"/>
          <w:strike w:val="false"/>
          <w:dstrike w:val="false"/>
          <w:sz w:val="18"/>
          <w:szCs w:val="18"/>
          <w:u w:val="none"/>
          <w:lang w:val="pl-PL" w:eastAsia="en-US" w:bidi="ar-SA"/>
        </w:rPr>
        <w:t xml:space="preserve">. </w:t>
      </w:r>
    </w:p>
    <w:p>
      <w:pPr>
        <w:pStyle w:val="BodyText"/>
        <w:spacing w:before="0" w:after="0"/>
        <w:jc w:val="both"/>
        <w:rPr>
          <w:rFonts w:ascii="Arial" w:hAnsi="Arial"/>
          <w:sz w:val="18"/>
          <w:szCs w:val="18"/>
        </w:rPr>
      </w:pPr>
      <w:r>
        <w:rPr>
          <w:rFonts w:ascii="Arial" w:hAnsi="Arial"/>
          <w:b/>
          <w:bCs/>
          <w:sz w:val="18"/>
          <w:szCs w:val="18"/>
          <w:lang w:val="pl-PL" w:eastAsia="en-US" w:bidi="ar-SA"/>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włączeń, o których mowa w art. 14 ust. 5 RODO.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Wyjaśnienie: informacja w tym zakresie jest wymagana, jeżeli w odniesieniu do danego administratora lub podmiotu przetwarzającego istnieje obowiązek wyznaczenia inspektora ochrony danych osobowych. </w:t>
      </w:r>
    </w:p>
    <w:p>
      <w:pPr>
        <w:pStyle w:val="BodyText"/>
        <w:jc w:val="both"/>
        <w:rPr>
          <w:rFonts w:ascii="Arial" w:hAnsi="Arial"/>
          <w:sz w:val="18"/>
          <w:szCs w:val="18"/>
        </w:rPr>
      </w:pPr>
      <w:r>
        <w:rPr>
          <w:rFonts w:ascii="Arial" w:hAnsi="Arial"/>
          <w:b w:val="false"/>
          <w:i w:val="false"/>
          <w:strike w:val="false"/>
          <w:dstrike w:val="false"/>
          <w:sz w:val="18"/>
          <w:szCs w:val="18"/>
          <w:u w:val="none"/>
          <w:lang w:val="pl-PL" w:eastAsia="en-US" w:bidi="ar-SA"/>
        </w:rPr>
        <w:t xml:space="preserve">** Wyjaśnienie: skorzystanie z prawa do sprostowania nie może skutkować zmianą wyniku postępowania </w:t>
      </w:r>
      <w:r>
        <w:rPr>
          <w:rFonts w:ascii="Arial" w:hAnsi="Arial"/>
          <w:sz w:val="18"/>
          <w:szCs w:val="18"/>
          <w:lang w:val="pl-PL" w:eastAsia="en-US" w:bidi="ar-SA"/>
        </w:rPr>
        <w:t xml:space="preserve">o udzielenie zamówienia publicznego ani zmianą postanowień umowy. </w:t>
      </w:r>
    </w:p>
    <w:p>
      <w:pPr>
        <w:pStyle w:val="BodyText"/>
        <w:spacing w:before="0" w:after="120"/>
        <w:jc w:val="both"/>
        <w:rPr>
          <w:rFonts w:ascii="Arial" w:hAnsi="Arial"/>
          <w:sz w:val="18"/>
          <w:szCs w:val="18"/>
        </w:rPr>
      </w:pPr>
      <w:r>
        <w:rPr>
          <w:rFonts w:ascii="Arial" w:hAnsi="Arial"/>
          <w:b w:val="false"/>
          <w:i w:val="false"/>
          <w:strike w:val="false"/>
          <w:dstrike w:val="false"/>
          <w:sz w:val="18"/>
          <w:szCs w:val="18"/>
          <w:u w:val="none"/>
          <w:lang w:val="pl-PL" w:eastAsia="en-US" w:bidi="ar-SA"/>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footerReference w:type="even" r:id="rId4"/>
      <w:footerReference w:type="default" r:id="rId5"/>
      <w:type w:val="nextPage"/>
      <w:pgSz w:w="12240" w:h="15840"/>
      <w:pgMar w:left="1134" w:right="1134" w:gutter="0" w:header="0" w:top="1020" w:footer="1020" w:bottom="153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mbria">
    <w:charset w:val="ee"/>
    <w:family w:val="roman"/>
    <w:pitch w:val="variable"/>
  </w:font>
  <w:font w:name="Times New Roman">
    <w:charset w:val="ee"/>
    <w:family w:val="roman"/>
    <w:pitch w:val="variable"/>
  </w:font>
  <w:font w:name="Calibri">
    <w:charset w:val="ee"/>
    <w:family w:val="roman"/>
    <w:pitch w:val="variable"/>
  </w:font>
  <w:font w:name="Courier">
    <w:altName w:val="Courier New"/>
    <w:charset w:val="ee"/>
    <w:family w:val="roman"/>
    <w:pitch w:val="variable"/>
  </w:font>
  <w:font w:name="OpenSymbol">
    <w:altName w:val="Arial Unicode MS"/>
    <w:charset w:val="ee"/>
    <w:family w:val="roman"/>
    <w:pitch w:val="variable"/>
  </w:font>
  <w:font w:name="Wingdings">
    <w:charset w:val="ee"/>
    <w:family w:val="roman"/>
    <w:pitch w:val="variable"/>
  </w:font>
  <w:font w:name="Courier New">
    <w:charset w:val="ee"/>
    <w:family w:val="roman"/>
    <w:pitch w:val="variable"/>
  </w:font>
  <w:font w:name="Symbol">
    <w:charset w:val="ee"/>
    <w:family w:val="roman"/>
    <w:pitch w:val="variable"/>
  </w:font>
  <w:font w:name="Segoe UI">
    <w:charset w:val="ee"/>
    <w:family w:val="swiss"/>
    <w:pitch w:val="variable"/>
  </w:font>
  <w:font w:name="Liberation Sans">
    <w:altName w:val="Arial"/>
    <w:charset w:val="ee"/>
    <w:family w:val="swiss"/>
    <w:pitch w:val="variable"/>
  </w:font>
  <w:font w:name="Arial">
    <w:charset w:val="ee"/>
    <w:family w:val="swiss"/>
    <w:pitch w:val="variable"/>
  </w:font>
  <w:font w:name="Arial">
    <w:charset w:val="01"/>
    <w:family w:val="swiss"/>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2" w:name="PageNumWizard_FOOTER_Domyślny_styl_stron"/>
    <w:r>
      <w:rPr/>
      <w:fldChar w:fldCharType="begin"/>
    </w:r>
    <w:r>
      <w:rPr/>
      <w:instrText xml:space="preserve"> PAGE </w:instrText>
    </w:r>
    <w:r>
      <w:rPr/>
      <w:fldChar w:fldCharType="separate"/>
    </w:r>
    <w:r>
      <w:rPr/>
      <w:t>8</w:t>
    </w:r>
    <w:r>
      <w:rPr/>
      <w:fldChar w:fldCharType="end"/>
    </w:r>
    <w:bookmarkEnd w:id="2"/>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3" w:name="PageNumWizard_FOOTER_Domyślny_styl_stro1"/>
    <w:r>
      <w:rPr/>
      <w:fldChar w:fldCharType="begin"/>
    </w:r>
    <w:r>
      <w:rPr/>
      <w:instrText xml:space="preserve"> PAGE </w:instrText>
    </w:r>
    <w:r>
      <w:rPr/>
      <w:fldChar w:fldCharType="separate"/>
    </w:r>
    <w:r>
      <w:rPr/>
      <w:t>7</w:t>
    </w:r>
    <w:r>
      <w:rPr/>
      <w:fldChar w:fldCharType="end"/>
    </w:r>
    <w:bookmarkEnd w:id="3"/>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9">
    <w:lvl w:ilvl="0">
      <w:start w:val="1"/>
      <w:numFmt w:val="bullet"/>
      <w:lvlText w:val=""/>
      <w:lvlJc w:val="left"/>
      <w:pPr>
        <w:tabs>
          <w:tab w:val="num" w:pos="0"/>
        </w:tabs>
        <w:ind w:left="890" w:hanging="360"/>
      </w:pPr>
      <w:rPr>
        <w:rFonts w:ascii="Symbol" w:hAnsi="Symbol" w:cs="Symbol" w:hint="default"/>
      </w:rPr>
    </w:lvl>
    <w:lvl w:ilvl="1">
      <w:start w:val="1"/>
      <w:numFmt w:val="bullet"/>
      <w:lvlText w:val="o"/>
      <w:lvlJc w:val="left"/>
      <w:pPr>
        <w:tabs>
          <w:tab w:val="num" w:pos="0"/>
        </w:tabs>
        <w:ind w:left="1610" w:hanging="360"/>
      </w:pPr>
      <w:rPr>
        <w:rFonts w:ascii="Courier New" w:hAnsi="Courier New" w:cs="Courier New" w:hint="default"/>
      </w:rPr>
    </w:lvl>
    <w:lvl w:ilvl="2">
      <w:start w:val="1"/>
      <w:numFmt w:val="bullet"/>
      <w:lvlText w:val=""/>
      <w:lvlJc w:val="left"/>
      <w:pPr>
        <w:tabs>
          <w:tab w:val="num" w:pos="0"/>
        </w:tabs>
        <w:ind w:left="2330" w:hanging="360"/>
      </w:pPr>
      <w:rPr>
        <w:rFonts w:ascii="Wingdings" w:hAnsi="Wingdings" w:cs="Wingdings" w:hint="default"/>
      </w:rPr>
    </w:lvl>
    <w:lvl w:ilvl="3">
      <w:start w:val="1"/>
      <w:numFmt w:val="bullet"/>
      <w:lvlText w:val=""/>
      <w:lvlJc w:val="left"/>
      <w:pPr>
        <w:tabs>
          <w:tab w:val="num" w:pos="0"/>
        </w:tabs>
        <w:ind w:left="3050" w:hanging="360"/>
      </w:pPr>
      <w:rPr>
        <w:rFonts w:ascii="Symbol" w:hAnsi="Symbol" w:cs="Symbol" w:hint="default"/>
      </w:rPr>
    </w:lvl>
    <w:lvl w:ilvl="4">
      <w:start w:val="1"/>
      <w:numFmt w:val="bullet"/>
      <w:lvlText w:val="o"/>
      <w:lvlJc w:val="left"/>
      <w:pPr>
        <w:tabs>
          <w:tab w:val="num" w:pos="0"/>
        </w:tabs>
        <w:ind w:left="3770" w:hanging="360"/>
      </w:pPr>
      <w:rPr>
        <w:rFonts w:ascii="Courier New" w:hAnsi="Courier New" w:cs="Courier New" w:hint="default"/>
      </w:rPr>
    </w:lvl>
    <w:lvl w:ilvl="5">
      <w:start w:val="1"/>
      <w:numFmt w:val="bullet"/>
      <w:lvlText w:val=""/>
      <w:lvlJc w:val="left"/>
      <w:pPr>
        <w:tabs>
          <w:tab w:val="num" w:pos="0"/>
        </w:tabs>
        <w:ind w:left="4490" w:hanging="360"/>
      </w:pPr>
      <w:rPr>
        <w:rFonts w:ascii="Wingdings" w:hAnsi="Wingdings" w:cs="Wingdings" w:hint="default"/>
      </w:rPr>
    </w:lvl>
    <w:lvl w:ilvl="6">
      <w:start w:val="1"/>
      <w:numFmt w:val="bullet"/>
      <w:lvlText w:val=""/>
      <w:lvlJc w:val="left"/>
      <w:pPr>
        <w:tabs>
          <w:tab w:val="num" w:pos="0"/>
        </w:tabs>
        <w:ind w:left="5210" w:hanging="360"/>
      </w:pPr>
      <w:rPr>
        <w:rFonts w:ascii="Symbol" w:hAnsi="Symbol" w:cs="Symbol" w:hint="default"/>
      </w:rPr>
    </w:lvl>
    <w:lvl w:ilvl="7">
      <w:start w:val="1"/>
      <w:numFmt w:val="bullet"/>
      <w:lvlText w:val="o"/>
      <w:lvlJc w:val="left"/>
      <w:pPr>
        <w:tabs>
          <w:tab w:val="num" w:pos="0"/>
        </w:tabs>
        <w:ind w:left="5930" w:hanging="360"/>
      </w:pPr>
      <w:rPr>
        <w:rFonts w:ascii="Courier New" w:hAnsi="Courier New" w:cs="Courier New" w:hint="default"/>
      </w:rPr>
    </w:lvl>
    <w:lvl w:ilvl="8">
      <w:start w:val="1"/>
      <w:numFmt w:val="bullet"/>
      <w:lvlText w:val=""/>
      <w:lvlJc w:val="left"/>
      <w:pPr>
        <w:tabs>
          <w:tab w:val="num" w:pos="0"/>
        </w:tabs>
        <w:ind w:left="6650" w:hanging="360"/>
      </w:pPr>
      <w:rPr>
        <w:rFonts w:ascii="Wingdings" w:hAnsi="Wingdings" w:cs="Wingdings" w:hint="default"/>
      </w:rPr>
    </w:lvl>
  </w:abstractNum>
  <w:abstractNum w:abstractNumId="30">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1">
    <w:lvl w:ilvl="0">
      <w:start w:val="1"/>
      <w:numFmt w:val="bullet"/>
      <w:lvlText w:val=""/>
      <w:lvlJc w:val="left"/>
      <w:pPr>
        <w:tabs>
          <w:tab w:val="num" w:pos="0"/>
        </w:tabs>
        <w:ind w:left="1146" w:hanging="360"/>
      </w:pPr>
      <w:rPr>
        <w:rFonts w:ascii="Symbol" w:hAnsi="Symbol" w:cs="Symbol" w:hint="default"/>
        <w:sz w:val="20"/>
        <w:szCs w:val="20"/>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2">
    <w:lvl w:ilvl="0">
      <w:start w:val="1"/>
      <w:numFmt w:val="lowerLetter"/>
      <w:lvlText w:val="%1)"/>
      <w:lvlJc w:val="left"/>
      <w:pPr>
        <w:tabs>
          <w:tab w:val="num" w:pos="0"/>
        </w:tabs>
        <w:ind w:left="720" w:hanging="360"/>
      </w:pPr>
      <w:rPr>
        <w:rFonts w:ascii="Arial" w:hAnsi="Arial"/>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w="http://schemas.openxmlformats.org/wordprocessingml/2006/main">
  <w:zoom w:percent="89"/>
  <w:mirrorMargins/>
  <w:defaultTabStop w:val="720"/>
  <w:autoHyphenation w:val="true"/>
  <w:hyphenationZone w:val="0"/>
  <w:evenAndOddHeaders/>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 w:cstheme="minorBidi"/>
      <w:color w:val="auto"/>
      <w:kern w:val="0"/>
      <w:sz w:val="24"/>
      <w:szCs w:val="24"/>
      <w:lang w:val="en-US" w:eastAsia="pl-PL" w:bidi="ar-SA"/>
    </w:rPr>
  </w:style>
  <w:style w:type="paragraph" w:styleId="Heading1">
    <w:name w:val="heading 1"/>
    <w:basedOn w:val="Normal"/>
    <w:next w:val="Normal"/>
    <w:link w:val="Nagwek1Znak"/>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Nagwek2Znak"/>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Nagwek3Znak"/>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Nagwek4Znak"/>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Nagwek5Znak"/>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Nagwek6Znak"/>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Nagwek7Znak"/>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Nagwek8Znak"/>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Cs w:val="20"/>
    </w:rPr>
  </w:style>
  <w:style w:type="paragraph" w:styleId="Heading9">
    <w:name w:val="heading 9"/>
    <w:basedOn w:val="Normal"/>
    <w:next w:val="Normal"/>
    <w:link w:val="Nagwek9Znak"/>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Cs w:val="20"/>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e618bf"/>
    <w:rPr/>
  </w:style>
  <w:style w:type="character" w:styleId="StopkaZnak" w:customStyle="1">
    <w:name w:val="Stopka Znak"/>
    <w:basedOn w:val="DefaultParagraphFont"/>
    <w:uiPriority w:val="99"/>
    <w:qFormat/>
    <w:rsid w:val="00e618bf"/>
    <w:rPr/>
  </w:style>
  <w:style w:type="character" w:styleId="Nagwek1Znak" w:customStyle="1">
    <w:name w:val="Nagłówek 1 Znak"/>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Nagwek2Znak" w:customStyle="1">
    <w:name w:val="Nagłówek 2 Znak"/>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Nagwek3Znak" w:customStyle="1">
    <w:name w:val="Nagłówek 3 Znak"/>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ytuZnak" w:customStyle="1">
    <w:name w:val="Tytuł Znak"/>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PodtytuZnak" w:customStyle="1">
    <w:name w:val="Podtytuł Znak"/>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TekstpodstawowyZnak" w:customStyle="1">
    <w:name w:val="Tekst podstawowy Znak"/>
    <w:basedOn w:val="DefaultParagraphFont"/>
    <w:uiPriority w:val="99"/>
    <w:qFormat/>
    <w:rsid w:val="00aa1d8d"/>
    <w:rPr/>
  </w:style>
  <w:style w:type="character" w:styleId="Tekstpodstawowy2Znak" w:customStyle="1">
    <w:name w:val="Tekst podstawowy 2 Znak"/>
    <w:basedOn w:val="DefaultParagraphFont"/>
    <w:link w:val="BodyText2"/>
    <w:uiPriority w:val="99"/>
    <w:qFormat/>
    <w:rsid w:val="00aa1d8d"/>
    <w:rPr/>
  </w:style>
  <w:style w:type="character" w:styleId="Tekstpodstawowy3Znak" w:customStyle="1">
    <w:name w:val="Tekst podstawowy 3 Znak"/>
    <w:basedOn w:val="DefaultParagraphFont"/>
    <w:link w:val="BodyText3"/>
    <w:uiPriority w:val="99"/>
    <w:qFormat/>
    <w:rsid w:val="00aa1d8d"/>
    <w:rPr>
      <w:sz w:val="16"/>
      <w:szCs w:val="16"/>
    </w:rPr>
  </w:style>
  <w:style w:type="character" w:styleId="TekstmakraZnak" w:customStyle="1">
    <w:name w:val="Tekst makra Znak"/>
    <w:basedOn w:val="DefaultParagraphFont"/>
    <w:link w:val="MacroText"/>
    <w:uiPriority w:val="99"/>
    <w:qFormat/>
    <w:rsid w:val="0029639d"/>
    <w:rPr>
      <w:rFonts w:ascii="Courier" w:hAnsi="Courier"/>
      <w:sz w:val="20"/>
      <w:szCs w:val="20"/>
    </w:rPr>
  </w:style>
  <w:style w:type="character" w:styleId="CytatZnak" w:customStyle="1">
    <w:name w:val="Cytat Znak"/>
    <w:basedOn w:val="DefaultParagraphFont"/>
    <w:link w:val="Quote"/>
    <w:uiPriority w:val="29"/>
    <w:qFormat/>
    <w:rsid w:val="00fc693f"/>
    <w:rPr>
      <w:i/>
      <w:iCs/>
      <w:color w:themeColor="text1" w:val="000000"/>
    </w:rPr>
  </w:style>
  <w:style w:type="character" w:styleId="Nagwek4Znak" w:customStyle="1">
    <w:name w:val="Nagłówek 4 Znak"/>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Nagwek5Znak" w:customStyle="1">
    <w:name w:val="Nagłówek 5 Znak"/>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Nagwek6Znak" w:customStyle="1">
    <w:name w:val="Nagłówek 6 Znak"/>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Nagwek7Znak" w:customStyle="1">
    <w:name w:val="Nagłówek 7 Znak"/>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Nagwek8Znak" w:customStyle="1">
    <w:name w:val="Nagłówek 8 Znak"/>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Nagwek9Znak" w:customStyle="1">
    <w:name w:val="Nagłówek 9 Znak"/>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CytatintensywnyZnak" w:customStyle="1">
    <w:name w:val="Cytat intensywny Znak"/>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markedcontent" w:customStyle="1">
    <w:name w:val="markedcontent"/>
    <w:qFormat/>
    <w:rPr/>
  </w:style>
  <w:style w:type="character" w:styleId="Hyperlink">
    <w:name w:val="Hyperlink"/>
    <w:rPr>
      <w:color w:val="000080"/>
      <w:u w:val="single"/>
    </w:rPr>
  </w:style>
  <w:style w:type="character" w:styleId="Znakiwypunktowania" w:customStyle="1">
    <w:name w:val="Znaki wypunktowania"/>
    <w:qFormat/>
    <w:rPr>
      <w:rFonts w:ascii="OpenSymbol" w:hAnsi="OpenSymbol" w:eastAsia="OpenSymbol" w:cs="OpenSymbol"/>
    </w:rPr>
  </w:style>
  <w:style w:type="character" w:styleId="WWCharLFO2LVL1" w:customStyle="1">
    <w:name w:val="WW_CharLFO2LVL1"/>
    <w:qFormat/>
    <w:rPr>
      <w:rFonts w:ascii="Wingdings" w:hAnsi="Wingdings"/>
    </w:rPr>
  </w:style>
  <w:style w:type="character" w:styleId="WWCharLFO2LVL2" w:customStyle="1">
    <w:name w:val="WW_CharLFO2LVL2"/>
    <w:qFormat/>
    <w:rPr>
      <w:rFonts w:ascii="Courier New" w:hAnsi="Courier New" w:cs="Courier New"/>
    </w:rPr>
  </w:style>
  <w:style w:type="character" w:styleId="WWCharLFO2LVL3" w:customStyle="1">
    <w:name w:val="WW_CharLFO2LVL3"/>
    <w:qFormat/>
    <w:rPr>
      <w:rFonts w:ascii="Wingdings" w:hAnsi="Wingdings"/>
    </w:rPr>
  </w:style>
  <w:style w:type="character" w:styleId="WWCharLFO2LVL4" w:customStyle="1">
    <w:name w:val="WW_CharLFO2LVL4"/>
    <w:qFormat/>
    <w:rPr>
      <w:rFonts w:ascii="Symbol" w:hAnsi="Symbol"/>
    </w:rPr>
  </w:style>
  <w:style w:type="character" w:styleId="WWCharLFO2LVL5" w:customStyle="1">
    <w:name w:val="WW_CharLFO2LVL5"/>
    <w:qFormat/>
    <w:rPr>
      <w:rFonts w:ascii="Courier New" w:hAnsi="Courier New" w:cs="Courier New"/>
    </w:rPr>
  </w:style>
  <w:style w:type="character" w:styleId="WWCharLFO2LVL6" w:customStyle="1">
    <w:name w:val="WW_CharLFO2LVL6"/>
    <w:qFormat/>
    <w:rPr>
      <w:rFonts w:ascii="Wingdings" w:hAnsi="Wingdings"/>
    </w:rPr>
  </w:style>
  <w:style w:type="character" w:styleId="WWCharLFO2LVL7" w:customStyle="1">
    <w:name w:val="WW_CharLFO2LVL7"/>
    <w:qFormat/>
    <w:rPr>
      <w:rFonts w:ascii="Symbol" w:hAnsi="Symbol"/>
    </w:rPr>
  </w:style>
  <w:style w:type="character" w:styleId="WWCharLFO2LVL8" w:customStyle="1">
    <w:name w:val="WW_CharLFO2LVL8"/>
    <w:qFormat/>
    <w:rPr>
      <w:rFonts w:ascii="Courier New" w:hAnsi="Courier New" w:cs="Courier New"/>
    </w:rPr>
  </w:style>
  <w:style w:type="character" w:styleId="WWCharLFO2LVL9" w:customStyle="1">
    <w:name w:val="WW_CharLFO2LVL9"/>
    <w:qFormat/>
    <w:rPr>
      <w:rFonts w:ascii="Wingdings" w:hAnsi="Wingdings"/>
    </w:rPr>
  </w:style>
  <w:style w:type="character" w:styleId="AkapitzlistZnak" w:customStyle="1">
    <w:name w:val="Akapit z listą Znak"/>
    <w:link w:val="ListParagraph"/>
    <w:uiPriority w:val="34"/>
    <w:qFormat/>
    <w:locked/>
    <w:rsid w:val="00bc618a"/>
    <w:rPr>
      <w:rFonts w:ascii="Times New Roman" w:hAnsi="Times New Roman" w:eastAsia="Times New Roman"/>
      <w:sz w:val="24"/>
      <w:szCs w:val="24"/>
      <w:lang w:eastAsia="pl-PL"/>
    </w:rPr>
  </w:style>
  <w:style w:type="character" w:styleId="CommentReference">
    <w:name w:val="annotation reference"/>
    <w:basedOn w:val="DefaultParagraphFont"/>
    <w:uiPriority w:val="99"/>
    <w:semiHidden/>
    <w:unhideWhenUsed/>
    <w:qFormat/>
    <w:rsid w:val="00a95304"/>
    <w:rPr>
      <w:sz w:val="16"/>
      <w:szCs w:val="16"/>
    </w:rPr>
  </w:style>
  <w:style w:type="character" w:styleId="TekstkomentarzaZnak" w:customStyle="1">
    <w:name w:val="Tekst komentarza Znak"/>
    <w:basedOn w:val="DefaultParagraphFont"/>
    <w:link w:val="CommentText"/>
    <w:uiPriority w:val="99"/>
    <w:semiHidden/>
    <w:qFormat/>
    <w:rsid w:val="00a95304"/>
    <w:rPr>
      <w:rFonts w:ascii="Times New Roman" w:hAnsi="Times New Roman" w:eastAsia="Times New Roman"/>
      <w:sz w:val="20"/>
      <w:szCs w:val="20"/>
      <w:lang w:eastAsia="pl-PL"/>
    </w:rPr>
  </w:style>
  <w:style w:type="character" w:styleId="TematkomentarzaZnak" w:customStyle="1">
    <w:name w:val="Temat komentarza Znak"/>
    <w:basedOn w:val="TekstkomentarzaZnak"/>
    <w:link w:val="annotationsubject"/>
    <w:uiPriority w:val="99"/>
    <w:semiHidden/>
    <w:qFormat/>
    <w:rsid w:val="00a95304"/>
    <w:rPr>
      <w:rFonts w:ascii="Times New Roman" w:hAnsi="Times New Roman" w:eastAsia="Times New Roman"/>
      <w:b/>
      <w:bCs/>
      <w:sz w:val="20"/>
      <w:szCs w:val="20"/>
      <w:lang w:eastAsia="pl-PL"/>
    </w:rPr>
  </w:style>
  <w:style w:type="character" w:styleId="TekstdymkaZnak" w:customStyle="1">
    <w:name w:val="Tekst dymka Znak"/>
    <w:basedOn w:val="DefaultParagraphFont"/>
    <w:link w:val="BalloonText"/>
    <w:uiPriority w:val="99"/>
    <w:semiHidden/>
    <w:qFormat/>
    <w:rsid w:val="00a95304"/>
    <w:rPr>
      <w:rFonts w:ascii="Segoe UI" w:hAnsi="Segoe UI" w:eastAsia="Times New Roman" w:cs="Segoe UI"/>
      <w:sz w:val="18"/>
      <w:szCs w:val="18"/>
      <w:lang w:eastAsia="pl-PL"/>
    </w:rPr>
  </w:style>
  <w:style w:type="character" w:styleId="Znakiwypunktowaniauser">
    <w:name w:val="Znaki wypunktowania (user)"/>
    <w:qFormat/>
    <w:rPr>
      <w:rFonts w:ascii="OpenSymbol" w:hAnsi="OpenSymbol" w:eastAsia="OpenSymbol" w:cs="OpenSymbol"/>
    </w:rPr>
  </w:style>
  <w:style w:type="character" w:styleId="Domylnaczcionkaakapitu">
    <w:name w:val="Domyślna czcionka akapitu"/>
    <w:qFormat/>
    <w:rPr/>
  </w:style>
  <w:style w:type="paragraph" w:styleId="Nagwek">
    <w:name w:val="Nagłówek"/>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TekstpodstawowyZnak"/>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next w:val="Normal"/>
    <w:uiPriority w:val="35"/>
    <w:semiHidden/>
    <w:unhideWhenUsed/>
    <w:qFormat/>
    <w:rsid w:val="00fc693f"/>
    <w:pPr/>
    <w:rPr>
      <w:b/>
      <w:bCs/>
      <w:color w:themeColor="accent1" w:val="4F81BD"/>
      <w:sz w:val="18"/>
      <w:szCs w:val="18"/>
    </w:rPr>
  </w:style>
  <w:style w:type="paragraph" w:styleId="Indeks" w:customStyle="1">
    <w:name w:val="Indeks"/>
    <w:basedOn w:val="Normal"/>
    <w:qFormat/>
    <w:pPr>
      <w:suppressLineNumbers/>
    </w:pPr>
    <w:rPr>
      <w:rFonts w:cs="Arial Unicode MS"/>
    </w:rPr>
  </w:style>
  <w:style w:type="paragraph" w:styleId="Nagwekuser" w:customStyle="1">
    <w:name w:val="Nagłówek (user)"/>
    <w:basedOn w:val="Normal"/>
    <w:next w:val="BodyText"/>
    <w:qFormat/>
    <w:pPr>
      <w:keepNext w:val="true"/>
      <w:spacing w:before="240" w:after="120"/>
    </w:pPr>
    <w:rPr>
      <w:rFonts w:ascii="Liberation Sans" w:hAnsi="Liberation Sans" w:eastAsia="Microsoft YaHei" w:cs="Arial Unicode MS"/>
      <w:sz w:val="28"/>
      <w:szCs w:val="28"/>
    </w:rPr>
  </w:style>
  <w:style w:type="paragraph" w:styleId="Indeksuser" w:customStyle="1">
    <w:name w:val="Indeks (user)"/>
    <w:basedOn w:val="Normal"/>
    <w:qFormat/>
    <w:pPr>
      <w:suppressLineNumbers/>
    </w:pPr>
    <w:rPr>
      <w:rFonts w:cs="Arial Unicode MS"/>
    </w:rPr>
  </w:style>
  <w:style w:type="paragraph" w:styleId="Gwkaistopkauser" w:customStyle="1">
    <w:name w:val="Główka i stopka (user)"/>
    <w:basedOn w:val="Normal"/>
    <w:qFormat/>
    <w:pPr/>
    <w:rPr/>
  </w:style>
  <w:style w:type="paragraph" w:styleId="Gwkaistopka" w:customStyle="1">
    <w:name w:val="Główka i stopka"/>
    <w:basedOn w:val="Normal"/>
    <w:qFormat/>
    <w:pPr/>
    <w:rPr/>
  </w:style>
  <w:style w:type="paragraph" w:styleId="Header">
    <w:name w:val="header"/>
    <w:basedOn w:val="Normal"/>
    <w:next w:val="BodyText"/>
    <w:link w:val="NagwekZnak"/>
    <w:uiPriority w:val="99"/>
    <w:unhideWhenUsed/>
    <w:rsid w:val="00e618bf"/>
    <w:pPr>
      <w:tabs>
        <w:tab w:val="clear" w:pos="720"/>
        <w:tab w:val="center" w:pos="4680" w:leader="none"/>
        <w:tab w:val="right" w:pos="9360" w:leader="none"/>
      </w:tabs>
    </w:pPr>
    <w:rPr/>
  </w:style>
  <w:style w:type="paragraph" w:styleId="Footer">
    <w:name w:val="footer"/>
    <w:basedOn w:val="Normal"/>
    <w:link w:val="StopkaZnak"/>
    <w:uiPriority w:val="99"/>
    <w:unhideWhenUsed/>
    <w:rsid w:val="00e618bf"/>
    <w:pPr>
      <w:tabs>
        <w:tab w:val="clear" w:pos="720"/>
        <w:tab w:val="center" w:pos="4680" w:leader="none"/>
        <w:tab w:val="right" w:pos="9360" w:leader="none"/>
      </w:tabs>
    </w:pPr>
    <w:rPr/>
  </w:style>
  <w:style w:type="paragraph" w:styleId="NoSpacing">
    <w:name w:val="No Spacing"/>
    <w:uiPriority w:val="1"/>
    <w:qFormat/>
    <w:rsid w:val="00fc693f"/>
    <w:pPr>
      <w:widowControl/>
      <w:suppressAutoHyphens w:val="true"/>
      <w:bidi w:val="0"/>
      <w:spacing w:before="0" w:after="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ytuZnak"/>
    <w:uiPriority w:val="10"/>
    <w:qFormat/>
    <w:rsid w:val="00fc693f"/>
    <w:pPr>
      <w:pBdr>
        <w:bottom w:val="single" w:sz="8" w:space="4" w:color="4F81BD" w:themeColor="accent1"/>
      </w:pBdr>
      <w:spacing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PodtytuZnak"/>
    <w:uiPriority w:val="11"/>
    <w:qFormat/>
    <w:rsid w:val="00fc693f"/>
    <w:pPr/>
    <w:rPr>
      <w:rFonts w:ascii="Calibri" w:hAnsi="Calibri" w:eastAsia="" w:cs="" w:asciiTheme="majorHAnsi" w:cstheme="majorBidi" w:eastAsiaTheme="majorEastAsia" w:hAnsiTheme="majorHAnsi"/>
      <w:i/>
      <w:iCs/>
      <w:color w:themeColor="accent1" w:val="4F81BD"/>
      <w:spacing w:val="15"/>
    </w:rPr>
  </w:style>
  <w:style w:type="paragraph" w:styleId="ListParagraph">
    <w:name w:val="List Paragraph"/>
    <w:basedOn w:val="Normal"/>
    <w:link w:val="AkapitzlistZnak"/>
    <w:uiPriority w:val="34"/>
    <w:qFormat/>
    <w:rsid w:val="00fc693f"/>
    <w:pPr>
      <w:spacing w:before="0" w:after="200"/>
      <w:ind w:left="720"/>
      <w:contextualSpacing/>
    </w:pPr>
    <w:rPr/>
  </w:style>
  <w:style w:type="paragraph" w:styleId="BodyText2">
    <w:name w:val="Body Text 2"/>
    <w:basedOn w:val="Normal"/>
    <w:link w:val="Tekstpodstawowy2Znak"/>
    <w:uiPriority w:val="99"/>
    <w:unhideWhenUsed/>
    <w:qFormat/>
    <w:rsid w:val="00aa1d8d"/>
    <w:pPr>
      <w:spacing w:lineRule="auto" w:line="480" w:before="0" w:after="120"/>
    </w:pPr>
    <w:rPr/>
  </w:style>
  <w:style w:type="paragraph" w:styleId="BodyText3">
    <w:name w:val="Body Text 3"/>
    <w:basedOn w:val="Normal"/>
    <w:link w:val="Tekstpodstawowy3Znak"/>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Text">
    <w:name w:val="macro"/>
    <w:link w:val="TekstmakraZnak"/>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CytatZnak"/>
    <w:uiPriority w:val="29"/>
    <w:qFormat/>
    <w:rsid w:val="00fc693f"/>
    <w:pPr/>
    <w:rPr>
      <w:i/>
      <w:iCs/>
      <w:color w:themeColor="text1" w:val="000000"/>
    </w:rPr>
  </w:style>
  <w:style w:type="paragraph" w:styleId="IntenseQuote">
    <w:name w:val="Intense Quote"/>
    <w:basedOn w:val="Normal"/>
    <w:next w:val="Normal"/>
    <w:link w:val="CytatintensywnyZnak"/>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Header"/>
    <w:pPr/>
    <w:rPr/>
  </w:style>
  <w:style w:type="paragraph" w:styleId="TOCHeading">
    <w:name w:val="TOC Heading"/>
    <w:basedOn w:val="Heading1"/>
    <w:next w:val="Normal"/>
    <w:uiPriority w:val="39"/>
    <w:semiHidden/>
    <w:unhideWhenUsed/>
    <w:qFormat/>
    <w:rsid w:val="00fc693f"/>
    <w:pPr>
      <w:outlineLvl w:val="9"/>
    </w:pPr>
    <w:rPr/>
  </w:style>
  <w:style w:type="paragraph" w:styleId="Default" w:customStyle="1">
    <w:name w:val="Default"/>
    <w:qFormat/>
    <w:pPr>
      <w:widowControl/>
      <w:suppressAutoHyphens w:val="true"/>
      <w:bidi w:val="0"/>
      <w:spacing w:before="0" w:after="0"/>
      <w:jc w:val="left"/>
    </w:pPr>
    <w:rPr>
      <w:rFonts w:ascii="Cambria" w:hAnsi="Cambria" w:eastAsia="" w:cs=""/>
      <w:color w:val="000000"/>
      <w:kern w:val="0"/>
      <w:sz w:val="24"/>
      <w:szCs w:val="22"/>
      <w:lang w:val="en-US" w:eastAsia="en-US" w:bidi="ar-SA"/>
    </w:rPr>
  </w:style>
  <w:style w:type="paragraph" w:styleId="Zawartotabeliuser" w:customStyle="1">
    <w:name w:val="Zawartość tabeli (user)"/>
    <w:basedOn w:val="Normal"/>
    <w:qFormat/>
    <w:pPr>
      <w:widowControl w:val="false"/>
      <w:suppressLineNumbers/>
    </w:pPr>
    <w:rPr/>
  </w:style>
  <w:style w:type="paragraph" w:styleId="Nagwektabeliuser" w:customStyle="1">
    <w:name w:val="Nagłówek tabeli (user)"/>
    <w:basedOn w:val="Zawartotabeliuser"/>
    <w:qFormat/>
    <w:pPr>
      <w:jc w:val="center"/>
    </w:pPr>
    <w:rPr>
      <w:b/>
      <w:bCs/>
    </w:rPr>
  </w:style>
  <w:style w:type="paragraph" w:styleId="CommentText">
    <w:name w:val="annotation text"/>
    <w:basedOn w:val="Normal"/>
    <w:link w:val="TekstkomentarzaZnak"/>
    <w:uiPriority w:val="99"/>
    <w:semiHidden/>
    <w:unhideWhenUsed/>
    <w:rsid w:val="00a95304"/>
    <w:pPr/>
    <w:rPr>
      <w:sz w:val="20"/>
      <w:szCs w:val="20"/>
    </w:rPr>
  </w:style>
  <w:style w:type="paragraph" w:styleId="annotationsubject">
    <w:name w:val="annotation subject"/>
    <w:basedOn w:val="CommentText"/>
    <w:next w:val="CommentText"/>
    <w:link w:val="TematkomentarzaZnak"/>
    <w:uiPriority w:val="99"/>
    <w:semiHidden/>
    <w:unhideWhenUsed/>
    <w:qFormat/>
    <w:rsid w:val="00a95304"/>
    <w:pPr/>
    <w:rPr>
      <w:b/>
      <w:bCs/>
    </w:rPr>
  </w:style>
  <w:style w:type="paragraph" w:styleId="BalloonText">
    <w:name w:val="Balloon Text"/>
    <w:basedOn w:val="Normal"/>
    <w:link w:val="TekstdymkaZnak"/>
    <w:uiPriority w:val="99"/>
    <w:semiHidden/>
    <w:unhideWhenUsed/>
    <w:qFormat/>
    <w:rsid w:val="00a95304"/>
    <w:pPr/>
    <w:rPr>
      <w:rFonts w:ascii="Segoe UI" w:hAnsi="Segoe UI" w:cs="Segoe UI"/>
      <w:sz w:val="18"/>
      <w:szCs w:val="18"/>
    </w:rPr>
  </w:style>
  <w:style w:type="paragraph" w:styleId="Normalny">
    <w:name w:val="Normalny"/>
    <w:qFormat/>
    <w:pPr>
      <w:widowControl/>
      <w:suppressAutoHyphens w:val="true"/>
      <w:bidi w:val="0"/>
      <w:spacing w:lineRule="auto" w:line="240" w:before="0" w:after="0"/>
      <w:jc w:val="left"/>
    </w:pPr>
    <w:rPr>
      <w:rFonts w:ascii="Times New Roman" w:hAnsi="Times New Roman" w:eastAsia="Times New Roman" w:cs="" w:cstheme="minorBidi"/>
      <w:color w:val="auto"/>
      <w:kern w:val="0"/>
      <w:sz w:val="24"/>
      <w:szCs w:val="24"/>
      <w:lang w:val="en-US" w:eastAsia="pl-PL" w:bidi="ar-SA"/>
    </w:rPr>
  </w:style>
  <w:style w:type="numbering" w:styleId="Bezlistyuser" w:default="1">
    <w:name w:val="Bez listy (user)"/>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fc693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Jasnecieniowanie">
    <w:name w:val="Light Shading"/>
    <w:basedOn w:val="Standardowy"/>
    <w:uiPriority w:val="60"/>
    <w:rsid w:val="00fc693f"/>
    <w:rPr>
      <w:color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rPr>
      <w:color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rPr>
      <w:color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rPr>
      <w:color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rPr>
      <w:color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rPr>
      <w:color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rPr>
      <w:color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Jasnalistaakcent1">
    <w:name w:val="Light List Accent 1"/>
    <w:basedOn w:val="Standardowy"/>
    <w:uiPriority w:val="61"/>
    <w:rsid w:val="00fc693f"/>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Jasnalistaakcent2">
    <w:name w:val="Light List Accent 2"/>
    <w:basedOn w:val="Standardowy"/>
    <w:uiPriority w:val="61"/>
    <w:rsid w:val="00cb0664"/>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Jasnalistaakcent3">
    <w:name w:val="Light List Accent 3"/>
    <w:basedOn w:val="Standardowy"/>
    <w:uiPriority w:val="61"/>
    <w:rsid w:val="00cb0664"/>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Jasnalistaakcent4">
    <w:name w:val="Light List Accent 4"/>
    <w:basedOn w:val="Standardowy"/>
    <w:uiPriority w:val="61"/>
    <w:rsid w:val="00cb0664"/>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Jasnalistaakcent5">
    <w:name w:val="Light List Accent 5"/>
    <w:basedOn w:val="Standardowy"/>
    <w:uiPriority w:val="61"/>
    <w:rsid w:val="00cb0664"/>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Jasnalistaakcent6">
    <w:name w:val="Light List Accent 6"/>
    <w:basedOn w:val="Standardowy"/>
    <w:uiPriority w:val="61"/>
    <w:rsid w:val="00cb0664"/>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Jasnasiatka">
    <w:name w:val="Light Grid"/>
    <w:basedOn w:val="Standardowy"/>
    <w:uiPriority w:val="62"/>
    <w:rsid w:val="00cb0664"/>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Jasnasiatkaakcent1">
    <w:name w:val="Light Grid Accent 1"/>
    <w:basedOn w:val="Standardowy"/>
    <w:uiPriority w:val="62"/>
    <w:rsid w:val="00cb0664"/>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Jasnasiatkaakcent2">
    <w:name w:val="Light Grid Accent 2"/>
    <w:basedOn w:val="Standardowy"/>
    <w:uiPriority w:val="62"/>
    <w:rsid w:val="00cb0664"/>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Jasnasiatkaakcent3">
    <w:name w:val="Light Grid Accent 3"/>
    <w:basedOn w:val="Standardowy"/>
    <w:uiPriority w:val="62"/>
    <w:rsid w:val="00cb0664"/>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Jasnasiatkaakcent4">
    <w:name w:val="Light Grid Accent 4"/>
    <w:basedOn w:val="Standardowy"/>
    <w:uiPriority w:val="62"/>
    <w:rsid w:val="00cb0664"/>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Jasnasiatkaakcent5">
    <w:name w:val="Light Grid Accent 5"/>
    <w:basedOn w:val="Standardowy"/>
    <w:uiPriority w:val="62"/>
    <w:rsid w:val="00cb0664"/>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Jasnasiatkaakcent6">
    <w:name w:val="Light Grid Accent 6"/>
    <w:basedOn w:val="Standardowy"/>
    <w:uiPriority w:val="62"/>
    <w:rsid w:val="00cb0664"/>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redniecieniowanie1">
    <w:name w:val="Medium Shading 1"/>
    <w:basedOn w:val="Standardowy"/>
    <w:uiPriority w:val="63"/>
    <w:rsid w:val="00cb0664"/>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themeColor="background1"/>
      </w:rPr>
      <w:tblPr/>
      <w:tcPr>
        <w:tcBorders>
          <w:top w:val="single" w:color="000000" w:themeColor="text1" w:sz="8" w:space="0"/>
          <w:left w:val="single" w:color="000000" w:themeColor="text1" w:sz="8" w:space="0"/>
          <w:bottom w:val="single" w:color="000000" w:themeColor="text1" w:sz="8" w:space="0"/>
          <w:right w:val="single" w:color="00000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themeColor="background1"/>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themeColor="background1"/>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themeColor="background1"/>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themeColor="background1"/>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themeColor="background1"/>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themeColor="background1"/>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1">
    <w:name w:val="Medium Shading 2 Accent 1"/>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2">
    <w:name w:val="Medium Shading 2 Accent 2"/>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3">
    <w:name w:val="Medium Shading 2 Accent 3"/>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4">
    <w:name w:val="Medium Shading 2 Accent 4"/>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5">
    <w:name w:val="Medium Shading 2 Accent 5"/>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ecieniowanie2akcent6">
    <w:name w:val="Medium Shading 2 Accent 6"/>
    <w:basedOn w:val="Standardowy"/>
    <w:uiPriority w:val="64"/>
    <w:rsid w:val="00cb0664"/>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rednialista1">
    <w:name w:val="Medium List 1"/>
    <w:basedOn w:val="Standardowy"/>
    <w:uiPriority w:val="65"/>
    <w:rsid w:val="00cb0664"/>
    <w:rPr>
      <w:color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rPr>
      <w:color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rPr>
      <w:color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rPr>
      <w:color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rPr>
      <w:color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rPr>
      <w:color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rPr>
      <w:color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00000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4F81B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0504D"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9BBB59"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8064A2"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4BACC6"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79646"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redniasiatka3akcent1">
    <w:name w:val="Medium Grid 3 Accent 1"/>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redniasiatka3akcent2">
    <w:name w:val="Medium Grid 3 Accent 2"/>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redniasiatka3akcent3">
    <w:name w:val="Medium Grid 3 Accent 3"/>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redniasiatka3akcent4">
    <w:name w:val="Medium Grid 3 Accent 4"/>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redniasiatka3akcent5">
    <w:name w:val="Medium Grid 3 Accent 5"/>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redniasiatka3akcent6">
    <w:name w:val="Medium Grid 3 Accent 6"/>
    <w:basedOn w:val="Standardowy"/>
    <w:uiPriority w:val="69"/>
    <w:rsid w:val="00cb0664"/>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Ciemnalista">
    <w:name w:val="Dark List"/>
    <w:basedOn w:val="Standardowy"/>
    <w:uiPriority w:val="70"/>
    <w:rsid w:val="00cb0664"/>
    <w:rPr>
      <w:color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rPr>
      <w:color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rPr>
      <w:color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rPr>
      <w:color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rPr>
      <w:color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rPr>
      <w:color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rPr>
      <w:color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Kolorowecieniowanieakcent1">
    <w:name w:val="Colorful Shading Accent 1"/>
    <w:basedOn w:val="Standardowy"/>
    <w:uiPriority w:val="71"/>
    <w:rsid w:val="00cb0664"/>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4F81BD"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Kolorowecieniowanieakcent2">
    <w:name w:val="Colorful Shading Accent 2"/>
    <w:basedOn w:val="Standardowy"/>
    <w:uiPriority w:val="71"/>
    <w:rsid w:val="00cb0664"/>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C0504D"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Kolorowecieniowanieakcent3">
    <w:name w:val="Colorful Shading Accent 3"/>
    <w:basedOn w:val="Standardowy"/>
    <w:uiPriority w:val="71"/>
    <w:rsid w:val="00cb0664"/>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9BBB59"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8064A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Kolorowecieniowanieakcent5">
    <w:name w:val="Colorful Shading Accent 5"/>
    <w:basedOn w:val="Standardowy"/>
    <w:uiPriority w:val="71"/>
    <w:rsid w:val="00cb0664"/>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4BACC6"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Kolorowecieniowanieakcent6">
    <w:name w:val="Colorful Shading Accent 6"/>
    <w:basedOn w:val="Standardowy"/>
    <w:uiPriority w:val="71"/>
    <w:rsid w:val="00cb0664"/>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F79646"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Kolorowalista">
    <w:name w:val="Colorful List"/>
    <w:basedOn w:val="Standardowy"/>
    <w:uiPriority w:val="72"/>
    <w:rsid w:val="00cb0664"/>
    <w:rPr>
      <w:color w:themeColor="text1"/>
    </w:rPr>
    <w:tblPr>
      <w:tblStyleRowBandSize w:val="1"/>
      <w:tblStyleColBandSize w:val="1"/>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rPr>
      <w:color w:themeColor="text1"/>
    </w:rPr>
    <w:tblPr>
      <w:tblStyleRowBandSize w:val="1"/>
      <w:tblStyleColBandSize w:val="1"/>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rPr>
      <w:color w:themeColor="text1"/>
    </w:rPr>
    <w:tblPr>
      <w:tblStyleRowBandSize w:val="1"/>
      <w:tblStyleColBandSize w:val="1"/>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rPr>
      <w:color w:themeColor="text1"/>
    </w:rPr>
    <w:tblPr>
      <w:tblStyleRowBandSize w:val="1"/>
      <w:tblStyleColBandSize w:val="1"/>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rPr>
      <w:color w:themeColor="text1"/>
    </w:rPr>
    <w:tblPr>
      <w:tblStyleRowBandSize w:val="1"/>
      <w:tblStyleColBandSize w:val="1"/>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rPr>
      <w:color w:themeColor="text1"/>
    </w:rPr>
    <w:tblPr>
      <w:tblStyleRowBandSize w:val="1"/>
      <w:tblStyleColBandSize w:val="1"/>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rPr>
      <w:color w:themeColor="text1"/>
    </w:rPr>
    <w:tblPr>
      <w:tblStyleRowBandSize w:val="1"/>
      <w:tblStyleColBandSize w:val="1"/>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rPr>
      <w:color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bip.powiat.busko.pl/"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615F0-52BA-47DC-80A8-E7706BE2C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Application>LibreOffice/25.8.1.1$Windows_X86_64 LibreOffice_project/54047653041915e595ad4e45cccea684809c77b5</Application>
  <AppVersion>15.0000</AppVersion>
  <Pages>8</Pages>
  <Words>3322</Words>
  <Characters>21849</Characters>
  <CharactersWithSpaces>25187</CharactersWithSpaces>
  <Paragraphs>201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2026-06-18T10:44:00Z</dcterms:created>
  <dc:creator>Alek</dc:creator>
  <dc:description>kancelaria</dc:description>
  <dc:language>pl-PL</dc:language>
  <cp:lastModifiedBy/>
  <dcterms:modified xsi:type="dcterms:W3CDTF">2026-07-24T10:50:26Z</dcterms:modified>
  <cp:revision>62</cp:revision>
  <dc:subject/>
  <dc:title/>
</cp:coreProperties>
</file>

<file path=docProps/custom.xml><?xml version="1.0" encoding="utf-8"?>
<Properties xmlns="http://schemas.openxmlformats.org/officeDocument/2006/custom-properties" xmlns:vt="http://schemas.openxmlformats.org/officeDocument/2006/docPropsVTypes"/>
</file>