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kapit"/>
        <w:spacing w:beforeAutospacing="0" w:before="0" w:afterAutospacing="0" w:after="0"/>
        <w:ind w:firstLine="567"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Busko-Zdrój, dn</w:t>
      </w:r>
      <w:r>
        <w:rPr>
          <w:rFonts w:ascii="Cambria" w:hAnsi="Cambria"/>
          <w:color w:val="000000"/>
          <w:sz w:val="22"/>
          <w:szCs w:val="22"/>
        </w:rPr>
        <w:t xml:space="preserve">. </w:t>
      </w:r>
      <w:r>
        <w:rPr>
          <w:rFonts w:ascii="Cambria" w:hAnsi="Cambria"/>
          <w:color w:val="000000"/>
          <w:sz w:val="22"/>
          <w:szCs w:val="22"/>
        </w:rPr>
        <w:t>24.09.2026r.</w:t>
      </w:r>
    </w:p>
    <w:p>
      <w:pPr>
        <w:pStyle w:val="Normal"/>
        <w:spacing w:lineRule="auto" w:line="276" w:before="0" w:after="0"/>
        <w:ind w:hanging="0" w:left="0"/>
        <w:jc w:val="both"/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Znak: GKN.6641.3.9.2026</w:t>
      </w:r>
    </w:p>
    <w:p>
      <w:pPr>
        <w:pStyle w:val="akapit"/>
        <w:spacing w:beforeAutospacing="0" w:before="0" w:afterAutospacing="0" w:after="0"/>
        <w:ind w:firstLine="567"/>
        <w:jc w:val="right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akapit"/>
        <w:spacing w:beforeAutospacing="0" w:before="0" w:afterAutospacing="0" w:after="0"/>
        <w:ind w:firstLine="567"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</w:r>
    </w:p>
    <w:p>
      <w:pPr>
        <w:pStyle w:val="akapit"/>
        <w:spacing w:beforeAutospacing="0" w:before="0" w:afterAutospacing="0" w:after="0"/>
        <w:ind w:firstLine="567"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</w:r>
    </w:p>
    <w:p>
      <w:pPr>
        <w:pStyle w:val="srodtytul"/>
        <w:spacing w:beforeAutospacing="0" w:before="0" w:afterAutospacing="0" w:after="0"/>
        <w:jc w:val="center"/>
        <w:rPr>
          <w:rFonts w:ascii="Cambria" w:hAnsi="Cambria"/>
        </w:rPr>
      </w:pPr>
      <w:r>
        <w:rPr>
          <w:rFonts w:ascii="Cambria" w:hAnsi="Cambria"/>
          <w:b/>
          <w:bCs/>
          <w:sz w:val="28"/>
          <w:szCs w:val="28"/>
        </w:rPr>
        <w:t>ZAPYTANIE OFERTOWE</w:t>
      </w:r>
    </w:p>
    <w:p>
      <w:pPr>
        <w:pStyle w:val="srodtytul"/>
        <w:spacing w:beforeAutospacing="0" w:before="0" w:afterAutospacing="0" w:after="0"/>
        <w:jc w:val="center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> 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bCs/>
          <w:sz w:val="24"/>
          <w:szCs w:val="24"/>
          <w:lang w:eastAsia="pl-PL"/>
        </w:rPr>
        <w:t>Opracowanie dokumentacji geodezyjno-prawnej do regulacji stanu prawnego nieruchomości zajętych pod część dróg powiatowych.</w:t>
      </w:r>
    </w:p>
    <w:p>
      <w:pPr>
        <w:pStyle w:val="srodtytul"/>
        <w:spacing w:beforeAutospacing="0" w:before="0" w:afterAutospacing="0"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1</w:t>
      </w:r>
      <w:r>
        <w:rPr>
          <w:rFonts w:eastAsia="Times New Roman" w:cs="Times New Roman" w:ascii="Cambria" w:hAnsi="Cambria"/>
          <w:lang w:eastAsia="pl-PL"/>
        </w:rPr>
        <w:t>. </w:t>
      </w:r>
      <w:r>
        <w:rPr>
          <w:rFonts w:eastAsia="Times New Roman" w:cs="Times New Roman" w:ascii="Cambria" w:hAnsi="Cambria"/>
          <w:b/>
          <w:bCs/>
          <w:lang w:eastAsia="pl-PL"/>
        </w:rPr>
        <w:t xml:space="preserve">Zamawiający: </w:t>
      </w:r>
      <w:r>
        <w:rPr>
          <w:rFonts w:eastAsia="Times New Roman" w:cs="Times New Roman" w:ascii="Cambria" w:hAnsi="Cambria"/>
          <w:b w:val="false"/>
          <w:bCs w:val="false"/>
          <w:lang w:eastAsia="pl-PL"/>
        </w:rPr>
        <w:t>Powiat Buski, al. Mickiewicza 15, 28-100 Busko-Zdrój</w:t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2.</w:t>
      </w:r>
      <w:r>
        <w:rPr>
          <w:rFonts w:eastAsia="Times New Roman" w:cs="Times New Roman" w:ascii="Cambria" w:hAnsi="Cambria"/>
          <w:lang w:eastAsia="pl-PL"/>
        </w:rPr>
        <w:t> </w:t>
      </w:r>
      <w:r>
        <w:rPr>
          <w:rFonts w:eastAsia="Times New Roman" w:cs="Times New Roman" w:ascii="Cambria" w:hAnsi="Cambria"/>
          <w:b/>
          <w:bCs/>
          <w:lang w:eastAsia="pl-PL"/>
        </w:rPr>
        <w:t>Szczegółowy opis przedmiotu zamówienia:</w:t>
      </w:r>
    </w:p>
    <w:tbl>
      <w:tblPr>
        <w:tblStyle w:val="Tabela-Siatka"/>
        <w:tblW w:w="100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80"/>
      </w:tblGrid>
      <w:tr>
        <w:trPr>
          <w:trHeight w:val="14055" w:hRule="atLeast"/>
        </w:trPr>
        <w:tc>
          <w:tcPr>
            <w:tcW w:w="10080" w:type="dxa"/>
            <w:tcBorders/>
          </w:tcPr>
          <w:p>
            <w:pPr>
              <w:pStyle w:val="Normal"/>
              <w:bidi w:val="0"/>
              <w:spacing w:lineRule="auto" w:line="240" w:before="0" w:after="0"/>
              <w:ind w:hanging="0" w:left="0" w:right="0"/>
              <w:jc w:val="both"/>
              <w:rPr>
                <w:rFonts w:ascii="Cambria" w:hAnsi="Cambria" w:cs="Calibri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Normal"/>
              <w:bidi w:val="0"/>
              <w:spacing w:lineRule="auto" w:line="360" w:before="0" w:after="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Opracowanie dokumentacji geodezyjno-prawnej do regulacji stanu prawnego nieruchomości: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clear" w:pos="720"/>
                <w:tab w:val="left" w:pos="576" w:leader="none"/>
              </w:tabs>
              <w:suppressAutoHyphens w:val="true"/>
              <w:bidi w:val="0"/>
              <w:spacing w:lineRule="auto" w:line="360" w:before="0" w:after="0"/>
              <w:ind w:hanging="397" w:left="567" w:right="34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Zadanie nr 1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 - </w:t>
            </w:r>
            <w:r>
              <w:rPr>
                <w:rFonts w:cs="Calibri Light" w:ascii="Cambria" w:hAnsi="Cambria"/>
                <w:b w:val="false"/>
                <w:bCs w:val="false"/>
                <w:sz w:val="22"/>
                <w:szCs w:val="22"/>
              </w:rPr>
              <w:t>polegającej na ustaleniu przebiegu granic części drogi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 powiatowej nr 1083T pn.„Ostrowce – Kawęczyn - Brzostków” na odcinku przebiegającym przez obręb ewidencyjny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Brzostków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, gm. Nowy Korczyn - obszar wiejski zgodnie z załącznikiem nr 1,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clear" w:pos="720"/>
                <w:tab w:val="left" w:pos="717" w:leader="none"/>
              </w:tabs>
              <w:suppressAutoHyphens w:val="true"/>
              <w:bidi w:val="0"/>
              <w:spacing w:lineRule="auto" w:line="360" w:before="0" w:after="0"/>
              <w:ind w:hanging="454" w:left="567" w:right="454"/>
              <w:jc w:val="both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Zadanie nr 2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- </w:t>
            </w:r>
            <w:r>
              <w:rPr>
                <w:rFonts w:cs="Calibri Light" w:ascii="Cambria" w:hAnsi="Cambria"/>
                <w:sz w:val="22"/>
                <w:szCs w:val="22"/>
              </w:rPr>
              <w:t xml:space="preserve">polegającej na ustaleniu przebiegu granic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części drogi powiatowej nr 1014T pn. „Tuczępy – Nieciesławice - Jarosławice” dotyczącej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187, 253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położonych </w:t>
              <w:br/>
              <w:t>w obrębie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Tuczępy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160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170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Góra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321, 325/1, 331/2, 332, 334/1, 334/2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Nieciesławice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gm. Tuczępy zgodnie </w:t>
              <w:br/>
              <w:t>z załącznikiem nr 2,3,4,5,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bidi w:val="0"/>
              <w:spacing w:lineRule="auto" w:line="360" w:before="0" w:after="160"/>
              <w:ind w:hanging="454" w:left="567" w:right="340"/>
              <w:jc w:val="both"/>
              <w:rPr>
                <w:rFonts w:ascii="Cambria" w:hAnsi="Cambria" w:cs="Calibri"/>
                <w:color w:val="000000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  <w:u w:val="none"/>
              </w:rPr>
              <w:t>Zadanie nr 3</w:t>
            </w:r>
            <w:r>
              <w:rPr>
                <w:rFonts w:ascii="Cambria" w:hAnsi="Cambria"/>
                <w:b w:val="false"/>
                <w:bCs w:val="false"/>
                <w:color w:val="000000"/>
                <w:sz w:val="22"/>
                <w:u w:val="none"/>
              </w:rPr>
              <w:t xml:space="preserve"> - polegającej na opracowaniu projektu podziału nieruchomości </w:t>
            </w:r>
            <w:r>
              <w:rPr>
                <w:rFonts w:ascii="Cambria" w:hAnsi="Cambria"/>
                <w:color w:val="000000"/>
                <w:sz w:val="22"/>
              </w:rPr>
              <w:t xml:space="preserve">położonej na terenie miejscowości </w:t>
            </w:r>
            <w:r>
              <w:rPr>
                <w:rFonts w:ascii="Cambria" w:hAnsi="Cambria"/>
                <w:b/>
                <w:color w:val="000000"/>
                <w:sz w:val="22"/>
              </w:rPr>
              <w:t>Busko-Zdrój, obręb 0010</w:t>
            </w:r>
            <w:r>
              <w:rPr>
                <w:rFonts w:ascii="Cambria" w:hAnsi="Cambria"/>
                <w:color w:val="000000"/>
                <w:sz w:val="22"/>
              </w:rPr>
              <w:t xml:space="preserve"> oznaczonej w ewidencji gruntów numerem działki </w:t>
            </w:r>
            <w:r>
              <w:rPr>
                <w:rFonts w:ascii="Cambria" w:hAnsi="Cambria"/>
                <w:b/>
                <w:color w:val="000000"/>
                <w:sz w:val="22"/>
              </w:rPr>
              <w:t xml:space="preserve">199/1 </w:t>
            </w:r>
            <w:r>
              <w:rPr>
                <w:rFonts w:ascii="Cambria" w:hAnsi="Cambria"/>
                <w:b w:val="false"/>
                <w:bCs w:val="false"/>
                <w:color w:val="000000"/>
                <w:sz w:val="22"/>
              </w:rPr>
              <w:t>o powierzchni 0,0408 ha,</w:t>
            </w:r>
            <w:r>
              <w:rPr>
                <w:rFonts w:ascii="Cambria" w:hAnsi="Cambria"/>
                <w:b/>
                <w:color w:val="000000"/>
                <w:sz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</w:rPr>
              <w:t>zgodnie ze wstępnym projektem podziału nieruchomości zatwierdzonym postanowieniem Burmistrza Miasta i Gminy Busko-Zdrój znak: BUŚ.6724.2.37.2026 z dn. 31.07.2026r. (załącznik nr 6),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bidi w:val="0"/>
              <w:spacing w:lineRule="auto" w:line="360" w:before="0" w:after="160"/>
              <w:ind w:hanging="454" w:left="567" w:right="340"/>
              <w:jc w:val="both"/>
              <w:rPr>
                <w:rFonts w:ascii="Cambria" w:hAnsi="Cambria"/>
                <w:color w:val="000000"/>
                <w:sz w:val="22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</w:rPr>
              <w:t xml:space="preserve">Zadanie nr 4 </w:t>
            </w:r>
            <w:r>
              <w:rPr>
                <w:rFonts w:ascii="Cambria" w:hAnsi="Cambria"/>
                <w:color w:val="000000"/>
                <w:sz w:val="22"/>
              </w:rPr>
              <w:t xml:space="preserve">-   </w:t>
            </w:r>
            <w:r>
              <w:rPr>
                <w:rFonts w:cs="Calibri Light" w:ascii="Cambria" w:hAnsi="Cambria"/>
                <w:color w:val="000000"/>
                <w:sz w:val="22"/>
                <w:szCs w:val="22"/>
              </w:rPr>
              <w:t xml:space="preserve">polegającej na ustaleniu przebiegu granic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części drogi powiatowej nr 1056T pn. „Piasek Mały – Zborów – Piestrzec – Zołcza Ugory” dotyczącej działki nr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186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położonej </w:t>
              <w:br/>
              <w:t>w obrębi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e Piasek Mały,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gm. Solec-Zdrój oraz działki nr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102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położonej w obrębie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 Żuków, </w:t>
              <w:br/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gm. Solec-Zdrój zgodnie z załącznikiem graficznym nr 7,8 (załącznik nr 7,8).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clear" w:pos="720"/>
                <w:tab w:val="left" w:pos="717" w:leader="none"/>
              </w:tabs>
              <w:suppressAutoHyphens w:val="true"/>
              <w:bidi w:val="0"/>
              <w:spacing w:lineRule="auto" w:line="240" w:before="0" w:after="0"/>
              <w:ind w:hanging="0" w:left="737" w:right="113"/>
              <w:jc w:val="both"/>
              <w:rPr>
                <w:rFonts w:ascii="Cambria" w:hAnsi="Cambria" w:cs="Calibri"/>
                <w:bCs/>
                <w:sz w:val="22"/>
                <w:szCs w:val="22"/>
              </w:rPr>
            </w:pPr>
            <w:r>
              <w:rPr>
                <w:rFonts w:cs="Calibri" w:ascii="Cambria" w:hAnsi="Cambria"/>
                <w:bCs/>
                <w:sz w:val="22"/>
                <w:szCs w:val="22"/>
              </w:rPr>
            </w:r>
          </w:p>
          <w:p>
            <w:pPr>
              <w:pStyle w:val="BodyText"/>
              <w:tabs>
                <w:tab w:val="clear" w:pos="720"/>
                <w:tab w:val="right" w:pos="5848" w:leader="none"/>
                <w:tab w:val="right" w:pos="7624" w:leader="none"/>
              </w:tabs>
              <w:suppressAutoHyphens w:val="true"/>
              <w:bidi w:val="0"/>
              <w:spacing w:lineRule="auto" w:line="360" w:before="0" w:after="140"/>
              <w:ind w:hanging="0" w:left="0" w:right="0"/>
              <w:jc w:val="left"/>
              <w:rPr>
                <w:rFonts w:ascii="Cambria" w:hAnsi="Cambria" w:cs="Calibri"/>
                <w:b/>
                <w:bCs/>
                <w:i/>
                <w:i/>
                <w:iCs/>
                <w:sz w:val="22"/>
                <w:szCs w:val="22"/>
                <w:u w:val="none"/>
              </w:rPr>
            </w:pPr>
            <w:r>
              <w:rPr>
                <w:rFonts w:cs="Calibri" w:ascii="Cambria" w:hAnsi="Cambria"/>
                <w:b/>
                <w:bCs/>
                <w:i/>
                <w:iCs/>
                <w:sz w:val="22"/>
                <w:szCs w:val="22"/>
                <w:u w:val="none"/>
              </w:rPr>
              <w:t xml:space="preserve">Zamawiający wyraża zgodę na składanie ofert częściowych osobno dla zadania nr 1, zadania nr 2, zadania nr 3 i </w:t>
            </w:r>
            <w:r>
              <w:rPr>
                <w:rFonts w:cs="Calibri" w:ascii="Cambria" w:hAnsi="Cambria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  <w:t xml:space="preserve">zadania nr 4 </w:t>
            </w:r>
            <w:r>
              <w:rPr>
                <w:rFonts w:cs="Calibri" w:ascii="Cambria" w:hAnsi="Cambria"/>
                <w:b/>
                <w:bCs/>
                <w:i/>
                <w:iCs/>
                <w:sz w:val="22"/>
                <w:szCs w:val="22"/>
                <w:u w:val="none"/>
              </w:rPr>
              <w:t>w związku z tym, należy podać cenę dla każdego zadania oddzielnie.</w:t>
            </w:r>
          </w:p>
          <w:p>
            <w:pPr>
              <w:pStyle w:val="BodyText"/>
              <w:tabs>
                <w:tab w:val="clear" w:pos="720"/>
                <w:tab w:val="right" w:pos="5848" w:leader="none"/>
                <w:tab w:val="right" w:pos="7624" w:leader="none"/>
              </w:tabs>
              <w:suppressAutoHyphens w:val="true"/>
              <w:bidi w:val="0"/>
              <w:spacing w:lineRule="auto" w:line="360" w:before="0" w:after="140"/>
              <w:ind w:hanging="0" w:left="0" w:right="0"/>
              <w:jc w:val="left"/>
              <w:rPr>
                <w:rFonts w:ascii="Cambria" w:hAnsi="Cambria" w:cs="Calibri"/>
                <w:b/>
                <w:bCs/>
                <w:i/>
                <w:i/>
                <w:iCs/>
                <w:sz w:val="22"/>
                <w:szCs w:val="22"/>
                <w:u w:val="none"/>
              </w:rPr>
            </w:pPr>
            <w:r>
              <w:rPr>
                <w:rFonts w:cs="Calibri" w:ascii="Cambria" w:hAnsi="Cambria"/>
                <w:b/>
                <w:bCs/>
                <w:i/>
                <w:iCs/>
                <w:sz w:val="22"/>
                <w:szCs w:val="22"/>
                <w:u w:val="none"/>
              </w:rPr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  <w:u w:val="single"/>
              </w:rPr>
              <w:t>Zadanie nr 1</w:t>
            </w:r>
            <w:r>
              <w:rPr>
                <w:rFonts w:ascii="Cambria" w:hAnsi="Cambria"/>
                <w:b/>
                <w:bCs/>
                <w:color w:val="000000"/>
                <w:sz w:val="22"/>
                <w:u w:val="none"/>
              </w:rPr>
              <w:t xml:space="preserve"> - droga powiatowa nr 1083T pn. „Ostrowce – Kawęczyn - Brzostków”</w:t>
            </w:r>
            <w:r>
              <w:rPr>
                <w:rFonts w:ascii="Cambria" w:hAnsi="Cambria"/>
                <w:b w:val="false"/>
                <w:bCs w:val="false"/>
                <w:color w:val="000000"/>
                <w:sz w:val="22"/>
                <w:u w:val="none"/>
              </w:rPr>
              <w:t xml:space="preserve"> </w:t>
              <w:br/>
              <w:t>Przedmiotem zamówienia jest wykonanie pracy geodezyjnej polegającej na: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ustaleniu granic pasa drogowego części drogi powiatowej nr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>1083T pn. „Ostrowce – Kawęczyn - Brzostków”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>poprzez wyznaczenie punktów granicznych/wznowienie znaków granicznych/ ustalenie przebiegu granic działek ewidencyjnych tj. części działki nr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636, 630 (arkusz nr 2), 630 (arkusz nr 3) </w:t>
            </w:r>
            <w:r>
              <w:rPr>
                <w:rFonts w:cs="Calibri" w:ascii="Cambria" w:hAnsi="Cambria"/>
                <w:sz w:val="22"/>
                <w:szCs w:val="22"/>
              </w:rPr>
              <w:t>położonych w obrębie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Brzostków,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gm. Nowy Korczyn-obszar wiejski.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 xml:space="preserve">Przebieg drogi objętej opracowaniem został wykazany na załączniku </w:t>
            </w:r>
            <w:r>
              <w:rPr>
                <w:rFonts w:cs="Calibri" w:ascii="Cambria" w:hAnsi="Cambria"/>
                <w:color w:val="000000"/>
                <w:sz w:val="22"/>
                <w:szCs w:val="22"/>
                <w:u w:val="single"/>
              </w:rPr>
              <w:t xml:space="preserve">nr 1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>do niniejszego zapytania ofertowego</w:t>
            </w:r>
            <w:r>
              <w:rPr>
                <w:rFonts w:cs="Calibri" w:ascii="Cambria" w:hAnsi="Cambria"/>
                <w:sz w:val="22"/>
                <w:szCs w:val="22"/>
              </w:rPr>
              <w:t>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opracowaniu projektu podziału nieruchomości położonej w obrębie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Brzostków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gm. Nowy Korczyn-obszar wiejski oznaczonej w ewidencji gruntów numerem działki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636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o pow. 0,97 ha (droga),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630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(arkusz nr 2) o pow. 0,69 ha (droga), 630 (arkusz nr 3) o pow. 0,69 ha (droga).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Przedmiotowe działki stanowi część drogi powiatowej Nr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1083T pn. „Ostrowce – Kawęczyn – Brzostków”.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Z działki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636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należy wydzielić część o długości ok. 30 m znajdującą się poza ciągiem drogi powiatowej Nr 1083T zgodnie z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załącznikiem nr 1.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Z działki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630 (arkusz nr 2)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należy wydzielić część o długości ok. 60 m znajdującą się w ciągu drogi powiatowej Nr 1083T zgodnie </w:t>
              <w:br/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z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załącznikiem nr 1.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Z działki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630 (arkusz nr 3)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należy wydzielić część o długości ok. 20 m znajdującą się poza ciągiem drogi powiatowej Nr 1083T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z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godnie z załącznikiem nr 1.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Punkty graniczne działek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636, 630 (arkusz nr 2), 630 (arkusz nr 3)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 odcinkach podlegających podziałowi mają nadane atrybuty SPD=2, ISD=1/ ISD=1, SPD=1/ SPD=2, ISD=2. Podział działek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636, 630 (arkusz nr 2), 630 (arkusz nr 3)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należy wykonać w trybie art. 95 ust. 4 ustawy z dnia 21 sierpnia 1997r. o gospodarce nieruchomościami (Dz.U. z 2024 poz. 1144 t.j). Należy sporządzić po </w:t>
            </w:r>
            <w:r>
              <w:rPr>
                <w:rFonts w:cs="Calibri" w:ascii="Cambria" w:hAnsi="Cambria"/>
                <w:sz w:val="22"/>
                <w:szCs w:val="22"/>
              </w:rPr>
              <w:t>8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egz. mapy z projektem podziału dla ww. działek.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wykonaniu pomiaru granic faktycznego przebiegu pasa drogowego wraz z elementami zagospodarowania na </w:t>
            </w:r>
            <w:r>
              <w:rPr>
                <w:rFonts w:cs="Calibri" w:ascii="Cambria" w:hAnsi="Cambria"/>
                <w:sz w:val="22"/>
                <w:szCs w:val="22"/>
              </w:rPr>
              <w:t>części działek nr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636, 630 (arkusz nr 2), 630 (arkusz nr 3) </w:t>
            </w:r>
            <w:r>
              <w:rPr>
                <w:rFonts w:cs="Calibri" w:ascii="Cambria" w:hAnsi="Cambria"/>
                <w:sz w:val="22"/>
                <w:szCs w:val="22"/>
              </w:rPr>
              <w:t>położonych w obrębie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 Brzostków</w:t>
            </w:r>
            <w:r>
              <w:rPr>
                <w:rFonts w:ascii="Cambria" w:hAnsi="Cambria"/>
                <w:sz w:val="22"/>
              </w:rPr>
              <w:t xml:space="preserve">, </w:t>
            </w:r>
            <w:r>
              <w:rPr>
                <w:rFonts w:ascii="Cambria" w:hAnsi="Cambria"/>
                <w:sz w:val="22"/>
                <w:u w:val="single"/>
              </w:rPr>
              <w:t>celem ustalenia zasięgu zajętości</w:t>
            </w:r>
            <w:r>
              <w:rPr>
                <w:rFonts w:ascii="Cambria" w:hAnsi="Cambria"/>
                <w:sz w:val="22"/>
              </w:rPr>
              <w:t xml:space="preserve"> przez drogę obszarów znajdujących się w granicach działek będących we własności lub władaniu innych podmiotów. Szacuje się, że opracowanie obejmie łącznie </w:t>
            </w:r>
            <w:r>
              <w:rPr>
                <w:rFonts w:ascii="Cambria" w:hAnsi="Cambria"/>
                <w:b/>
                <w:sz w:val="22"/>
              </w:rPr>
              <w:t>ok. 15 działek</w:t>
            </w:r>
            <w:r>
              <w:rPr>
                <w:rFonts w:ascii="Cambria" w:hAnsi="Cambria"/>
                <w:sz w:val="22"/>
              </w:rPr>
              <w:t xml:space="preserve"> ewidencyjnych sąsiadujących z drogą powiatową. Szacuje się, że ilość działek zajętych w części pod pas drogowy, dla których należy opracować dokumentację geodezyjno-prawną niezbędną do wydania decyzji administracyjnych </w:t>
              <w:br/>
              <w:t xml:space="preserve">w postępowaniach prowadzonych w trybie ustawy z dnia 13 października 1998 r. - Przepisy wprowadzające ustawy reformujące administrację publiczną (Dz. U. Nr 133, poz. 872 z późn. zm.) wynosi </w:t>
            </w:r>
            <w:r>
              <w:rPr>
                <w:rFonts w:ascii="Cambria" w:hAnsi="Cambria"/>
                <w:b/>
                <w:bCs/>
                <w:sz w:val="22"/>
              </w:rPr>
              <w:t>2 - dz. 184, 637</w:t>
            </w:r>
            <w:r>
              <w:rPr>
                <w:rFonts w:ascii="Cambria" w:hAnsi="Cambria"/>
                <w:b/>
                <w:sz w:val="22"/>
              </w:rPr>
              <w:t>.</w:t>
            </w:r>
            <w:r>
              <w:rPr>
                <w:rFonts w:ascii="Cambria" w:hAnsi="Cambria"/>
                <w:sz w:val="22"/>
              </w:rPr>
              <w:t xml:space="preserve">  </w:t>
            </w:r>
            <w:r>
              <w:rPr>
                <w:rFonts w:ascii="Cambria" w:hAnsi="Cambria"/>
                <w:b/>
                <w:sz w:val="22"/>
                <w:u w:val="single"/>
              </w:rPr>
              <w:t>Ostateczna ilość takich działek uzależniona będzie natomiast od wyników analiz i pomiarów dokonanych w ramach niniejszego zamówienia.</w:t>
            </w:r>
            <w:r>
              <w:rPr>
                <w:rFonts w:ascii="Cambria" w:hAnsi="Cambria"/>
                <w:b/>
                <w:sz w:val="22"/>
                <w:u w:val="none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W przypadku gdy pod drogę została zajęta część nieruchomości, która nie została wymieniona w treści niniejszego zapytania ofertowego należy również sporządzić dokumentację geodezyjną zawierającą podział tych działek w zakresie zajęcia pod drogę w dacie 31.12.1998r.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single"/>
              </w:rPr>
              <w:t>Po przeprowadzonej analizie materiałów i pomiarze w terenie Wykonawca przekaże Zamawiającemu numery działek ewidencyjnych ze stwierdzoną zajętością. Zamawiający udostępni Wykonawcy dane potwierdzające władanie gruntem/drogą celem przygotowania odpowiednich map do celów prawnych.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Punkty graniczne działek mają nadane atrybuty SPD=2, ISD=1/ ISD=1, SPD=1/ SPD=2, ISD=2.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Przebieg wyznaczonych/wznowionych/ustalonych granic pasa drogowego zamarkować palikami.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Ustalone przez strony granice zajęcia nieruchomości pod drogę publiczną należy zastabilizować trwale w punktach charakterystycznych.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Po przeprowadzonej analizie materiałów i pomiarze w terenie Wykonawca przekaże Zamawiającemu numery działek ewidencyjnych ze stwierdzoną zajętością. Zamawiający udostępni Wykonawcy dane potwierdzające władanie gruntem/drogą celem przygotowania odpowiednich map do celów prawnych.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  <w:u w:val="none"/>
              </w:rPr>
              <w:t xml:space="preserve">Dokumentacja geodezyjno-kartograficzna dla Zamawiającego będąca wynikiem przeprowadzonych czynności  powinna zawierać mapę z adnotacją o treści: </w:t>
            </w:r>
            <w:r>
              <w:rPr>
                <w:rFonts w:ascii="Cambria" w:hAnsi="Cambria"/>
                <w:b/>
                <w:bCs/>
                <w:i/>
                <w:iCs/>
                <w:sz w:val="22"/>
                <w:u w:val="none"/>
              </w:rPr>
              <w:t xml:space="preserve">„ Granice pasa drogowego wykazane na mapie są zgodne z faktycznym zajęciem gruntu pod drogę publiczną w dniu 31 grudnia 1998r.” </w:t>
            </w:r>
            <w:r>
              <w:rPr>
                <w:rFonts w:ascii="Cambria" w:hAnsi="Cambria"/>
                <w:b/>
                <w:bCs/>
                <w:sz w:val="22"/>
                <w:u w:val="none"/>
              </w:rPr>
              <w:t xml:space="preserve"> Jak również szczegółowy opis dokumentów ( w tym </w:t>
            </w:r>
            <w:r>
              <w:rPr>
                <w:rFonts w:ascii="Cambria" w:hAnsi="Cambria"/>
                <w:b/>
                <w:bCs/>
                <w:color w:val="000000"/>
                <w:sz w:val="22"/>
                <w:u w:val="none"/>
              </w:rPr>
              <w:t>archiwalnych) wykorzystywanych do ustalenia faktycznego zajęcia gruntu na dzień 31.12.1998r. między innymi udostępnionych przez Zamawiającego w szczególności zdjęć lotniczych, operatów geodezyjnych</w:t>
            </w:r>
            <w:r>
              <w:rPr>
                <w:rFonts w:ascii="Cambria" w:hAnsi="Cambria"/>
                <w:b/>
                <w:bCs/>
                <w:strike/>
                <w:color w:val="000000"/>
                <w:sz w:val="22"/>
                <w:u w:val="none"/>
              </w:rPr>
              <w:t>,</w:t>
            </w:r>
            <w:r>
              <w:rPr>
                <w:rFonts w:ascii="Cambria" w:hAnsi="Cambria"/>
                <w:b/>
                <w:bCs/>
                <w:color w:val="000000"/>
                <w:sz w:val="22"/>
                <w:u w:val="none"/>
              </w:rPr>
              <w:t xml:space="preserve"> map, dokumentacji projektowej, ewidencji gruntów oraz innych dostępnych materiałów. Geodeta, zgodnie z aktualnym orzecznictwem sądowo-administracyjnym, zobowiązany jest wskazać i ocenić wszystkie materiały stanowiące podstawę ustalenia faktycznego zajęcia gruntu pod drogę publiczną na dzień 31.12.1998r. W opracowaniu należy wykazać, dlaczego przyjęty przebieg granicy odpowiada faktycznemu zajęciu gruntu pod drogę na dzień 31 grudnia 1998r., </w:t>
              <w:br/>
              <w:t xml:space="preserve">z odniesieniem do każdego wykorzystanego dowodu oraz wskazaniem jego znaczenia </w:t>
              <w:br/>
              <w:t>i wiarygodności.</w:t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  <w:u w:val="single"/>
              </w:rPr>
              <w:t>Zadanie nr 2</w:t>
            </w:r>
            <w:r>
              <w:rPr>
                <w:rFonts w:ascii="Cambria" w:hAnsi="Cambria"/>
                <w:b/>
                <w:bCs/>
                <w:sz w:val="22"/>
              </w:rPr>
              <w:t xml:space="preserve"> - droga powiatowa nr 1014T pn. „Tuczępy – Nieciesławice - Jarosławice”  </w:t>
              <w:br/>
              <w:t>(załącznik nr 2)</w:t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Przedmiotem zamówienia jest wykonanie pracy geodezyjnej polegającej na: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ustaleniu granic pasa drogowego części drogi powiatowej nr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1014T pn. „Tuczępy – Nieciesławice - Jarosławice”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poprzez wyznaczenie punktów granicznych/wznowienie znaków granicznych/ dział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ek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187 i 253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położonych w obrębie Tuczępy, gm. Tuczępy.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 xml:space="preserve">Przebieg drogi objętej opracowaniem został wykazany na </w:t>
            </w:r>
            <w:r>
              <w:rPr>
                <w:rFonts w:cs="Calibri" w:ascii="Cambria" w:hAnsi="Cambria"/>
                <w:color w:val="000000"/>
                <w:sz w:val="22"/>
                <w:szCs w:val="22"/>
                <w:u w:val="single"/>
              </w:rPr>
              <w:t>załączniku nr 2</w:t>
            </w:r>
            <w:r>
              <w:rPr>
                <w:rFonts w:cs="Calibri" w:ascii="Cambria" w:hAnsi="Cambria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>do niniejszego zapytania ofertowego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. </w:t>
            </w:r>
            <w:r>
              <w:rPr>
                <w:rFonts w:cs="Calibri"/>
                <w:b w:val="false"/>
                <w:bCs w:val="false"/>
                <w:sz w:val="22"/>
                <w:szCs w:val="22"/>
                <w:u w:val="none"/>
              </w:rPr>
              <w:t>W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ykonaniu pomiaru granic faktycznego przebiegu pasa drogowego wraz z elementami zagospodarowania terenu na działkach nr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187, 253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single"/>
              </w:rPr>
              <w:t>celem ustalenia zasięgu zajętości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przez drogę obszarów znajdujących się w granicach działek będących we własności lub władaniu innych podmiotów. Szacuje się, że ilość działek zajętych na przedmiotowym odcinku </w:t>
              <w:br/>
              <w:t xml:space="preserve">w części pod pas drogowy, dla których należy opracować dokumentację geodezyjno-prawną niezbędną do wydania decyzji administracyjnych w postępowaniach prowadzonych w trybie ustawy z dnia 13 października 1998 r. - Przepisy wprowadzające ustawy reformujące administrację publiczną (Dz. U. Nr 133, poz. 872 z późn. zm.) wynosi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>ok. 25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.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Wstępna analiza dostępnej dokumentacji geodezyjnej </w:t>
            </w:r>
            <w:r>
              <w:rPr>
                <w:rFonts w:cs="Calibri" w:ascii="Cambria" w:hAnsi="Cambria"/>
                <w:b/>
                <w:sz w:val="22"/>
                <w:szCs w:val="22"/>
                <w:u w:val="single"/>
              </w:rPr>
              <w:t>może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wskazywać na występowanie zajętości przez pas drogowy dla następujących działek ewidencyjnych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obręb Tuczępy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: 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186, 212, 213, 215, 216, 218/1, 956/3, 956/4, 244/3, 244/2, 245, 246/2, 956/5, 956/6, 248/3, 249/1, 249/2, 250/4, 250/5, 250/3, 252/1, 254, 257, 267, 70/1470.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single"/>
              </w:rPr>
              <w:t>Ostateczna ilość takich działek uzależniona będzie natomiast od wyników analiz i pomiarów dokonanych w ramach niniejszego zamówienia.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W przypadku gdy pod drogę została zajęta część nieruchomości, która nie została wymieniona w treści niniejszego zapytania ofertowego należy również sporządzić dokumentację geodezyjną zawierającą podział tych działek w zakresie zajęcia pod drogę w dacie 31.12.1998r. Przedmiotowe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187, 253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stanowią własność Powiatu Buskiego i posiadają urządzoną księgę wieczystą. Stan prawny ujawniony w EGiB jest zgodny ze stanem prawnym ujawnionym w księdze wieczystej. Wszystkie punkty graniczne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187, 253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mają nadane atrybuty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>SPD=1, ISD=1.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>Na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terenie obrębu Tuczępy została przeprowadzona w 2021r. modernizacja ewidencji gruntów </w:t>
              <w:br/>
              <w:t>i budynków.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W 2025r. została utworzona numeryczna mapa ewidencji gruntów i budynków gminy Tuczępy.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Przebieg wyznaczonych/wznowionych/ustalonych granic pasa drogowego zamarkować palikami.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Ustalone przez strony granice zajęcia nieruchomości pod drogę publiczną należy zastabilizować trwale w punktach charakterystycznych.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Po przeprowadzonej analizie materiałów i pomiarze w terenie Wykonawca przekaże Zamawiającemu numery działek ewidencyjnych ze stwierdzoną zajętością. Zamawiający udostępni Wykonawcy dane potwierdzające władanie gruntem/drogą celem przygotowania odpowiednich map do celów prawnych.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 w:cs="Calibri"/>
                <w:b/>
                <w:bCs/>
                <w:sz w:val="22"/>
                <w:szCs w:val="22"/>
                <w:u w:val="none"/>
              </w:rPr>
            </w:pPr>
            <w:r>
              <w:rPr>
                <w:rFonts w:ascii="Cambria" w:hAnsi="Cambria"/>
                <w:b/>
                <w:bCs/>
                <w:sz w:val="22"/>
              </w:rPr>
              <w:t xml:space="preserve">Dokumentacja geodezyjno-kartograficzna dla Zamawiającego będąca wynikiem przeprowadzonych czynności  powinna zawierać mapę z adnotacją o treści: </w:t>
            </w:r>
            <w:r>
              <w:rPr>
                <w:rFonts w:ascii="Cambria" w:hAnsi="Cambria"/>
                <w:b/>
                <w:bCs/>
                <w:i/>
                <w:iCs/>
                <w:sz w:val="22"/>
              </w:rPr>
              <w:t xml:space="preserve">„ Granice pasa drogowego wykazane na mapie są zgodne z faktycznym zajęciem gruntu pod drogę publiczną w dniu 31 grudnia 1998r.” </w:t>
            </w:r>
            <w:r>
              <w:rPr>
                <w:rFonts w:ascii="Cambria" w:hAnsi="Cambria"/>
                <w:b/>
                <w:bCs/>
                <w:sz w:val="22"/>
              </w:rPr>
              <w:t xml:space="preserve"> Jak również szczegółowy opis dokumentów ( w tym </w:t>
            </w:r>
            <w:r>
              <w:rPr>
                <w:rFonts w:ascii="Cambria" w:hAnsi="Cambria"/>
                <w:b/>
                <w:bCs/>
                <w:color w:val="000000"/>
                <w:sz w:val="22"/>
              </w:rPr>
              <w:t>archiwalnych) wykorzystywanych do ustalenia faktycznego zajęcia gruntu na dzień 31.12.1998r. między innymi udostępnionych przez Zamawiającego w szczególności zdjęć lotniczych, operatów geodezyjnych</w:t>
            </w:r>
            <w:r>
              <w:rPr>
                <w:rFonts w:ascii="Cambria" w:hAnsi="Cambria"/>
                <w:b/>
                <w:bCs/>
                <w:strike/>
                <w:color w:val="000000"/>
                <w:sz w:val="22"/>
              </w:rPr>
              <w:t>,</w:t>
            </w:r>
            <w:r>
              <w:rPr>
                <w:rFonts w:ascii="Cambria" w:hAnsi="Cambria"/>
                <w:b/>
                <w:bCs/>
                <w:color w:val="000000"/>
                <w:sz w:val="22"/>
              </w:rPr>
              <w:t xml:space="preserve"> map, dokumentacji projektowej, ewidencji gruntów oraz innych dostępnych materiałów. Geodeta, zgodnie z aktualnym orzecznictwem sądowo-administracyjnym, zobowiązany jest wskazać i ocenić wszystkie materiały stanowiące podstawę ustalenia faktycznego zajęcia gruntu pod drogę publiczną na dzień 31.12.1998r. W opracowaniu należy wykazać, dlaczego przyjęty przebieg granicy odpowiada faktycznemu zajęciu gruntu pod drogę na dzień 31 grudnia 1998r., </w:t>
              <w:br/>
              <w:t xml:space="preserve">z odniesieniem do każdego wykorzystanego dowodu oraz wskazaniem jego znaczenia </w:t>
              <w:br/>
              <w:t>i wiarygodności.</w:t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  <w:u w:val="single"/>
              </w:rPr>
              <w:t>Zadanie nr 2</w:t>
            </w:r>
            <w:r>
              <w:rPr>
                <w:rFonts w:ascii="Cambria" w:hAnsi="Cambria"/>
                <w:b/>
                <w:bCs/>
                <w:sz w:val="22"/>
              </w:rPr>
              <w:t xml:space="preserve"> - droga powiatowa nr 1014T pn. „Tuczępy – Nieciesławice - Jarosławice”  </w:t>
              <w:br/>
            </w:r>
            <w:r>
              <w:rPr>
                <w:rFonts w:ascii="Cambria" w:hAnsi="Cambria"/>
                <w:b/>
                <w:bCs/>
                <w:color w:val="000000"/>
                <w:sz w:val="22"/>
              </w:rPr>
              <w:t>(załącznik nr 3, załącznik nr 4, załącznik nr 5)</w:t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Przedmiotem zamówienia jest wykonanie pracy geodezyjnej polegającej na: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ustaleniu granic pasa drogowego części drogi powiatowej nr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1014T pn. „Tuczępy – Nieciesławice - Jarosławice”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poprzez wyznaczenie punktów granicznych/wznowienie znaków granicznych/ ustalenie przebiegu granic działek ewidencyjnych tj. dział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ek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160 i 170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położonych w obrębie Góra,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321, 325/1, 331/2, 332, 334/1, 334/2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Nieciesławice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,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1249, 1227/7, 1244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Jarosławice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gm. Tuczępy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.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 xml:space="preserve">Przebieg drogi objętej opracowaniem został wykazany na </w:t>
            </w:r>
            <w:r>
              <w:rPr>
                <w:rFonts w:cs="Calibri" w:ascii="Cambria" w:hAnsi="Cambria"/>
                <w:color w:val="000000"/>
                <w:sz w:val="22"/>
                <w:szCs w:val="22"/>
                <w:u w:val="single"/>
              </w:rPr>
              <w:t xml:space="preserve">załączniku nr 3, załączniku nr 4 i załączniku nr 5 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>do</w:t>
            </w:r>
            <w:r>
              <w:rPr>
                <w:rFonts w:cs="Calibri" w:ascii="Cambria" w:hAnsi="Cambria"/>
                <w:sz w:val="22"/>
                <w:szCs w:val="22"/>
                <w:u w:val="single"/>
              </w:rPr>
              <w:t xml:space="preserve"> niniejszego zapytania ofertowego</w:t>
            </w:r>
            <w:r>
              <w:rPr>
                <w:rFonts w:cs="Calibri" w:ascii="Cambria" w:hAnsi="Cambria"/>
                <w:sz w:val="22"/>
                <w:szCs w:val="22"/>
              </w:rPr>
              <w:t>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/>
                <w:b w:val="false"/>
                <w:bCs w:val="false"/>
                <w:sz w:val="22"/>
                <w:szCs w:val="22"/>
                <w:u w:val="none"/>
              </w:rPr>
              <w:t>w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ykonaniu pomiaru granic faktycznego przebiegu pasa drogowego wraz z elementami zagospodarowania terenu na działkach nr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160 i 170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położonych w obrębie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Góra,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działek nr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321, 325/1, 331/2, 332, 334/1, 334/2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położonych w obrębie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 xml:space="preserve">Nieciesławice, działek nr 1249, 1227/7, 1244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Jarosławice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single"/>
              </w:rPr>
              <w:t>celem ustalenia zasięgu zajętości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przez drogę obszarów znajdujących się w granicach działek będących we własności lub władaniu innych podmiotów. Szacuje się, że ilość działek zajętych na przedmiotowym odcinku </w:t>
              <w:br/>
              <w:t xml:space="preserve">w części pod pas drogowy, dla których należy opracować dokumentację geodezyjno-prawną niezbędną do wydania decyzji administracyjnych w postępowaniach prowadzonych w trybie ustawy z dnia 13 października 1998 r. - Przepisy wprowadzające ustawy reformujące administrację publiczną (Dz. U. Nr 133, poz. 872 z późn. zm.) wynosi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>ok. 63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.  Wstępna analiza dostępnej dokumentacji geodezyjnej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single"/>
              </w:rPr>
              <w:t>może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wskazywać na występowanie zajętości przez pas drogowy dla następujących działek ewidencyjnych: 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 xml:space="preserve">obręb Góra: 66/1, 66/5, 66/2, 68/2, 74/2, 171;  obręb Nieciesławice: 42/1, 42/2, 43, 44/1, 44/4, 45, 46, 49, 50/1, 53/1, 53/3, 53/6, 215, 324, 216, 217/2, 332, 260/3, 261/1, 334/1, 266, 333, 267, 273, 274/6, 274/8, 274/4, 275/3, 275/7, 276/2, 277, 278,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none"/>
              </w:rPr>
              <w:t>279/1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none"/>
              </w:rPr>
              <w:t xml:space="preserve">;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none"/>
              </w:rPr>
              <w:t>obręb Jarosławice: 753, 1235, 713/1, 652/3, 1244, 602/1, 601/1, 594, 592/2, 1404, 1403, 1405, 883, 889/2, 1003/2, 1012, 1015, 1060, 1084/1, 336/1, 534, 1229, 1250/2.; obręb Niziny: 1104.</w:t>
            </w:r>
            <w:r>
              <w:rPr>
                <w:rFonts w:cs="Calibri" w:ascii="Cambria" w:hAnsi="Cambria"/>
                <w:b/>
                <w:bCs/>
                <w:color w:val="FF0000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single"/>
              </w:rPr>
              <w:t>Ostateczna ilość takich działek uzależniona będzie natomiast od wyników analiz i pomiarów dokonanych w ramach niniejszego zamówienia.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W przypadku gdy pod drogę została zajęta część nieruchomości, która nie została wymieniona w treści niniejszego zapytania ofertowego należy również sporządzić dokumentację geodezyjną zawierającą podział tych działek w zakresie zajęcia pod drogę w dacie 31.12.1998r. Przedmiotowe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160, 170, 321, 325/1, 331/2, 334/2, 1249, 1227/7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stanowią własność Powiatu Buskiego i posiadają urządzoną księgę wieczystą. Stan prawny ujawniony w EGiB jest zgodny ze stanem prawnym ujawnionym w księdze wieczystej. Punkty graniczne działek nr 160, 170, 321, 325/1, 331/2, 332, 334/1, 334/2 posiadają atrybuty SPD=2, ISD=2. Punkty graniczne działek nr 1249, 1227/7 posiadają atrybuty SPD=1, ISD=1.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suppressAutoHyphens w:val="true"/>
              <w:bidi w:val="0"/>
              <w:spacing w:lineRule="auto" w:line="360" w:before="0" w:after="160"/>
              <w:ind w:hanging="340" w:left="1587" w:right="227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dla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753, 1084/1, 1229, 595/2, 1244, 123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5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Jarosławice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, gm. Tuczępy należy sporządzić mapy z projektem podziału w trybie art. 95 pkt. 4 Ustawy z dn. 21.08.1997r. o gospodarce nieruchomościami (Dz.U. z 2026r. Poz. 399 t.j.). Należy sporządzić po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8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egz. mapy z projektem podziału dla ww. działek.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suppressAutoHyphens w:val="true"/>
              <w:bidi w:val="0"/>
              <w:spacing w:lineRule="auto" w:line="360" w:before="0" w:after="160"/>
              <w:ind w:hanging="340" w:left="1587" w:right="227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dla działek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1003/3, 1012, 1015, 1060, 1404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położonych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Jarosławice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oraz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1104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położonej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>Niziny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, gm. Tuczępy należy sporządzić mapy z projektem podziału w trybie art. 95 pkt. 3 Ustawy z dn. 21.08.1997r. </w:t>
              <w:br/>
              <w:t xml:space="preserve">o gospodarce nieruchomościami (Dz.U. z 2026r. poz. 399 t.j.) w związku z art. 60 ustawy z dnia 13 października 1998 r. - Przepisy wprowadzające ustawy reformujące administrację publiczną (Dz. U. Nr 133, poz. 872 z późn. zm.). Należy sporządzić po </w:t>
              <w:br/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8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 egz. mapy z projektem podziału dla ww. działek.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84" w:leader="none"/>
                <w:tab w:val="left" w:pos="390" w:leader="none"/>
              </w:tabs>
              <w:bidi w:val="0"/>
              <w:spacing w:lineRule="auto" w:line="36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</w:rPr>
              <w:t xml:space="preserve">opracowaniu projektu podziału nieruchomości położonych w obrębie </w:t>
            </w:r>
            <w:r>
              <w:rPr>
                <w:rFonts w:ascii="Cambria" w:hAnsi="Cambria"/>
                <w:b/>
                <w:sz w:val="22"/>
              </w:rPr>
              <w:t>Nieciesławice</w:t>
            </w:r>
            <w:r>
              <w:rPr>
                <w:rFonts w:ascii="Cambria" w:hAnsi="Cambria"/>
                <w:sz w:val="22"/>
              </w:rPr>
              <w:t xml:space="preserve">, gm. Tuczępy oznaczonej w ewidencji gruntów numerami działek </w:t>
            </w:r>
            <w:r>
              <w:rPr>
                <w:rFonts w:ascii="Cambria" w:hAnsi="Cambria"/>
                <w:b/>
                <w:bCs/>
                <w:sz w:val="22"/>
              </w:rPr>
              <w:t>332</w:t>
            </w:r>
            <w:r>
              <w:rPr>
                <w:rFonts w:ascii="Cambria" w:hAnsi="Cambria"/>
                <w:b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o pow. 0,43 ha (droga), </w:t>
            </w:r>
            <w:r>
              <w:rPr>
                <w:rFonts w:ascii="Cambria" w:hAnsi="Cambria"/>
                <w:b/>
                <w:bCs/>
                <w:sz w:val="22"/>
              </w:rPr>
              <w:t>334/1</w:t>
            </w:r>
            <w:r>
              <w:rPr>
                <w:rFonts w:ascii="Cambria" w:hAnsi="Cambria"/>
                <w:sz w:val="22"/>
              </w:rPr>
              <w:t xml:space="preserve">  o pow. 0,39 ha (droga). Przedmiotowe działki stanowią część drogi powiatowej Nr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1014T pn. „Tuczępy – Nieciesławice - Jarosławice”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</w:rPr>
              <w:t xml:space="preserve">. </w:t>
            </w:r>
            <w:r>
              <w:rPr>
                <w:rFonts w:ascii="Cambria" w:hAnsi="Cambria"/>
                <w:sz w:val="22"/>
              </w:rPr>
              <w:t xml:space="preserve">Z działki </w:t>
            </w:r>
            <w:r>
              <w:rPr>
                <w:rFonts w:ascii="Cambria" w:hAnsi="Cambria"/>
                <w:b/>
                <w:sz w:val="22"/>
              </w:rPr>
              <w:t>332</w:t>
            </w:r>
            <w:r>
              <w:rPr>
                <w:rFonts w:ascii="Cambria" w:hAnsi="Cambria"/>
                <w:sz w:val="22"/>
              </w:rPr>
              <w:t xml:space="preserve"> należy wydzielić część na długości ok. 120 m znajdującą się w ciągu drogi powiatowej Nr 1014T zgodnie z</w:t>
            </w:r>
            <w:r>
              <w:rPr>
                <w:rFonts w:ascii="Cambria" w:hAnsi="Cambria"/>
                <w:color w:val="000000"/>
                <w:sz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</w:rPr>
              <w:t>załącznikiem nr 4.</w:t>
            </w:r>
            <w:r>
              <w:rPr>
                <w:rFonts w:ascii="Cambria" w:hAnsi="Cambria"/>
                <w:color w:val="000000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Z działki </w:t>
            </w:r>
            <w:r>
              <w:rPr>
                <w:rFonts w:ascii="Cambria" w:hAnsi="Cambria"/>
                <w:b/>
                <w:sz w:val="22"/>
              </w:rPr>
              <w:t>334/1</w:t>
            </w:r>
            <w:r>
              <w:rPr>
                <w:rFonts w:ascii="Cambria" w:hAnsi="Cambria"/>
                <w:sz w:val="22"/>
              </w:rPr>
              <w:t xml:space="preserve"> należy wydzielić część o długości ok. 150 m znajdującą się w ciągu drogi powiatowej Nr 1083T zgodnie z</w:t>
            </w:r>
            <w:r>
              <w:rPr>
                <w:rFonts w:ascii="Cambria" w:hAnsi="Cambria"/>
                <w:color w:val="000000"/>
                <w:sz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</w:rPr>
              <w:t>załącznikiem nr 4</w:t>
            </w:r>
            <w:r>
              <w:rPr>
                <w:rFonts w:ascii="Cambria" w:hAnsi="Cambria"/>
                <w:color w:val="000000"/>
                <w:sz w:val="22"/>
              </w:rPr>
              <w:t xml:space="preserve">. </w:t>
            </w:r>
            <w:r>
              <w:rPr>
                <w:rFonts w:ascii="Cambria" w:hAnsi="Cambria"/>
                <w:sz w:val="22"/>
              </w:rPr>
              <w:t xml:space="preserve"> Punkty graniczne działek </w:t>
            </w:r>
            <w:r>
              <w:rPr>
                <w:rFonts w:ascii="Cambria" w:hAnsi="Cambria"/>
                <w:b/>
                <w:bCs/>
                <w:sz w:val="22"/>
              </w:rPr>
              <w:t>332, 334/1</w:t>
            </w:r>
            <w:r>
              <w:rPr>
                <w:rFonts w:ascii="Cambria" w:hAnsi="Cambria"/>
                <w:sz w:val="22"/>
              </w:rPr>
              <w:t xml:space="preserve"> w większości mają nadane atrybuty SPD=2, ISD=2. Podział działek </w:t>
            </w:r>
            <w:r>
              <w:rPr>
                <w:rFonts w:ascii="Cambria" w:hAnsi="Cambria"/>
                <w:b/>
                <w:bCs/>
                <w:sz w:val="22"/>
              </w:rPr>
              <w:t>332, 334/1</w:t>
            </w:r>
            <w:r>
              <w:rPr>
                <w:rFonts w:ascii="Cambria" w:hAnsi="Cambria"/>
                <w:sz w:val="22"/>
              </w:rPr>
              <w:t xml:space="preserve"> należy wykonać w trybie art. 95 ust. 4 ustawy z dnia 21 sierpnia 1997r. o gospodarce nieruchomościami (Dz.U. z 2026 poz. 399 t.j). Należy sporządzić po </w:t>
            </w:r>
            <w:r>
              <w:rPr>
                <w:rFonts w:ascii="Cambria" w:hAnsi="Cambria"/>
                <w:sz w:val="22"/>
              </w:rPr>
              <w:t>8</w:t>
            </w:r>
            <w:r>
              <w:rPr>
                <w:rFonts w:ascii="Cambria" w:hAnsi="Cambria"/>
                <w:sz w:val="22"/>
              </w:rPr>
              <w:t xml:space="preserve"> egz. map z projektem podziału dla ww. działek.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Przebieg wyznaczonych/wznowionych/ustalonych granic pasa drogowego zamarkować palikami.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Ustalone przez strony granice zajęcia nieruchomości pod drogę publiczną należy zastabilizować trwale w punktach charakterystycznych.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Po przeprowadzonej analizie materiałów i pomiarze w terenie Wykonawca przekaże Zamawiającemu numery działek ewidencyjnych ze stwierdzoną zajętością. Zamawiający udostępni Wykonawcy dane potwierdzające władanie gruntem/drogą celem przygotowania odpowiednich map do celów prawnych.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lineRule="auto" w:line="360"/>
              <w:jc w:val="both"/>
              <w:rPr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>Dokumentacja geodezyjno-kartograficzna dla Zamawiającego będąca wynikiem przeprowadzonych czynności  powinna zawierać mapę z adnotacją o treści: „ Granice pasa drogowego wykazane na mapie są zgodne z faktycznym zajęciem gruntu pod drogę publiczną w dniu 31 grudnia 1998r.”  Jak również szczegółowy opis dokumentów ( w tym archiwalnych) wykorzystywanych do ustalenia faktycznego zajęcia gruntu na dzień 31.12.1998r. między innymi udostępnionych przez Zamawiającego w szczególności zdjęć lotniczych, operatów geodezyjnych</w:t>
            </w:r>
            <w:r>
              <w:rPr>
                <w:rFonts w:ascii="Cambria" w:hAnsi="Cambria"/>
                <w:b/>
                <w:bCs/>
                <w:strike/>
                <w:sz w:val="22"/>
              </w:rPr>
              <w:t>,</w:t>
            </w:r>
            <w:r>
              <w:rPr>
                <w:rFonts w:ascii="Cambria" w:hAnsi="Cambria"/>
                <w:b/>
                <w:bCs/>
                <w:sz w:val="22"/>
              </w:rPr>
              <w:t xml:space="preserve"> map, dokumentacji projektowej, ewidencji gruntów oraz innych dostępnych materiałów. Geodeta, zgodnie z aktualnym orzecznictwem sądowo-administracyjnym, zobowiązany jest wskazać i ocenić wszystkie materiały stanowiące podstawę ustalenia faktycznego zajęcia gruntu pod drogę publiczną na dzień 31.12.1998r. W opracowaniu należy wykazać, dlaczego przyjęty przebieg granicy odpowiada faktycznemu zajęciu gruntu pod drogę na dzień 31 grudnia 1998r., </w:t>
              <w:br/>
              <w:t xml:space="preserve">z odniesieniem do każdego wykorzystanego dowodu oraz wskazaniem jego znaczenia </w:t>
              <w:br/>
              <w:t>i wiarygodności.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360"/>
              <w:ind w:hanging="0" w:left="72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bidi w:val="0"/>
              <w:spacing w:lineRule="auto" w:line="36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Zadanie nr 3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 xml:space="preserve"> -  Busko-Zdrój dz. 199/1 obręb 10</w:t>
            </w:r>
          </w:p>
          <w:p>
            <w:pPr>
              <w:pStyle w:val="Normal"/>
              <w:bidi w:val="0"/>
              <w:spacing w:lineRule="auto" w:line="36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Przedmiotem zamówienia jest wykonanie pracy geodezyjnej polegającej na:</w:t>
            </w:r>
          </w:p>
          <w:p>
            <w:pPr>
              <w:pStyle w:val="Normal"/>
              <w:numPr>
                <w:ilvl w:val="0"/>
                <w:numId w:val="6"/>
              </w:numPr>
              <w:bidi w:val="0"/>
              <w:spacing w:lineRule="auto" w:line="360"/>
              <w:jc w:val="both"/>
              <w:rPr>
                <w:rFonts w:ascii="Cambria" w:hAnsi="Cambria" w:cs="Calibri"/>
                <w:color w:val="000000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opracowaniu projektu podziału nieruchomości 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położonej na terenie miejscowości </w:t>
            </w:r>
            <w:r>
              <w:rPr>
                <w:rFonts w:cs="Calibri" w:ascii="Cambria" w:hAnsi="Cambria"/>
                <w:b/>
                <w:color w:val="000000"/>
                <w:sz w:val="22"/>
              </w:rPr>
              <w:t>Busko-Zdrój, obręb 0010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 oznaczonej w ewidencji gruntów numerem działki </w:t>
            </w:r>
            <w:r>
              <w:rPr>
                <w:rFonts w:cs="Calibri" w:ascii="Cambria" w:hAnsi="Cambria"/>
                <w:b/>
                <w:color w:val="000000"/>
                <w:sz w:val="22"/>
              </w:rPr>
              <w:t xml:space="preserve">199/1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</w:rPr>
              <w:t>o powierzchni 0,0408 ha,</w:t>
            </w:r>
            <w:r>
              <w:rPr>
                <w:rFonts w:cs="Calibri" w:ascii="Cambria" w:hAnsi="Cambria"/>
                <w:b/>
                <w:color w:val="000000"/>
                <w:sz w:val="22"/>
              </w:rPr>
              <w:t xml:space="preserve"> 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zgodnie ze wstępnym projektem podziału nieruchomości zatwierdzonym postanowieniem Burmistrza Miasta i Gminy Busko-Zdrój znak: BUŚ.6724.2.37.2026 z dn. 31.07.2026r. 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(załącznik nr 6). 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 </w:t>
            </w:r>
            <w:r>
              <w:rPr>
                <w:rFonts w:cs="Calibri" w:ascii="Cambria" w:hAnsi="Cambria"/>
                <w:color w:val="000000"/>
                <w:sz w:val="22"/>
              </w:rPr>
              <w:t xml:space="preserve">Podział przedmiotowej nieruchomości przewiduje podział działki nr 199/1 na działki nr 199/A i 199/B. Projektowana do wydzielenia działka nr 199/A wydzielana jest w celu regulacji granic z działką oznaczoną nr 191/7 i zostanie przekazana w drodze darowizny w zamian za wydzieloną część działki  nr 191/7.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Punkty graniczne działki 199/1 mają nadane atrybuty SPD=1, ISD=1. Należy sporządzić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8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egz. map z projektem podziału. </w:t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  <w:u w:val="single"/>
              </w:rPr>
              <w:t>Zadanie nr 4</w:t>
            </w:r>
            <w:r>
              <w:rPr>
                <w:rFonts w:ascii="Cambria" w:hAnsi="Cambria"/>
                <w:b/>
                <w:bCs/>
                <w:sz w:val="22"/>
              </w:rPr>
              <w:t xml:space="preserve"> - droga powiatowa nr 1056T pn. „Piasek Mały – Zborów – Piestrzec – Zołcza Ugory”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360"/>
              <w:ind w:hanging="0" w:left="0"/>
              <w:jc w:val="both"/>
              <w:rPr>
                <w:rFonts w:ascii="Cambria" w:hAnsi="Cambria"/>
                <w:b w:val="false"/>
                <w:bCs w:val="false"/>
                <w:sz w:val="22"/>
                <w:u w:val="none"/>
              </w:rPr>
            </w:pPr>
            <w:r>
              <w:rPr>
                <w:rFonts w:ascii="Cambria" w:hAnsi="Cambria"/>
                <w:b w:val="false"/>
                <w:bCs w:val="false"/>
                <w:sz w:val="22"/>
                <w:u w:val="none"/>
              </w:rPr>
              <w:t>Przedmiotem zamówienia jest wykonanie pracy geodezyjnej polegającej na:</w:t>
            </w:r>
          </w:p>
          <w:p>
            <w:pPr>
              <w:pStyle w:val="Normal"/>
              <w:bidi w:val="0"/>
              <w:spacing w:lineRule="auto" w:line="360"/>
              <w:ind w:hanging="0" w:left="0"/>
              <w:jc w:val="both"/>
              <w:rPr>
                <w:rFonts w:ascii="Cambria" w:hAnsi="Cambria"/>
                <w:b/>
                <w:bCs/>
                <w:sz w:val="22"/>
                <w:u w:val="none"/>
              </w:rPr>
            </w:pPr>
            <w:r>
              <w:rPr>
                <w:rFonts w:ascii="Cambria" w:hAnsi="Cambria"/>
                <w:b/>
                <w:bCs/>
                <w:sz w:val="22"/>
                <w:u w:val="none"/>
              </w:rPr>
              <w:t>- OBRĘB PIASEK MAŁY: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284" w:leader="none"/>
              </w:tabs>
              <w:bidi w:val="0"/>
              <w:spacing w:lineRule="auto" w:line="36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ustaleniu granic pasa drogowego części drogi powiatowej nr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>1056T pn. „Piasek Mały – Zborów – Piestrzec – Zołcza Ugory”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poprzez wyznaczenie punktów granicznych/wznowienie znaków granicznych/ustalenie przebiegu granic działek ewidencyjnych dotyczącej części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186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położonej w obrębie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Piasek Mały</w:t>
            </w:r>
            <w:r>
              <w:rPr>
                <w:rFonts w:cs="Calibri" w:ascii="Cambria" w:hAnsi="Cambria"/>
                <w:sz w:val="22"/>
                <w:szCs w:val="22"/>
              </w:rPr>
              <w:t>, gm. Solec-Zdrój. Działka 186 stanowi własność Powiatu Buskiego;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/>
                <w:b w:val="false"/>
                <w:bCs w:val="false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wykonaniu pomiaru granic faktycznego przebiegu pasa drogowego,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single"/>
              </w:rPr>
              <w:t>celem ustalenia zasięgu zajętości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 przez drogę obszarów znajdujących się w granicach działek będących we własności lub władaniu innych podmiotów.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Szacuje się, że ilość działek zajętych na przedmiotowym odcinku </w:t>
              <w:br/>
              <w:t xml:space="preserve">w części pod pas drogowy, dla których należy opracować dokumentację geodezyjno-prawną niezbędną do wydania decyzji administracyjnych w postępowaniach prowadzonych w trybie ustawy z dnia 13 października 1998 r. - Przepisy wprowadzające ustawy reformujące administrację publiczną (Dz. U. Nr 133, poz. 872 z późn. zm.) wynosi </w:t>
            </w:r>
            <w:r>
              <w:rPr>
                <w:rFonts w:cs="Calibri" w:ascii="Cambria" w:hAnsi="Cambria"/>
                <w:b/>
                <w:bCs w:val="false"/>
                <w:sz w:val="22"/>
                <w:szCs w:val="22"/>
                <w:u w:val="none"/>
              </w:rPr>
              <w:t>1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 xml:space="preserve">.  Wstępna analiza dostępnej dokumentacji geodezyjnej wskazuje na występowanie zajętości przez pas drogowy dla działki ewidencyjnej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none"/>
              </w:rPr>
              <w:t xml:space="preserve">189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none"/>
              </w:rPr>
              <w:t>położonej w obrębie Piasek Mały;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opracowaniu dokumentacji geodezyjno-prawnej niezbędnej do uregulowania własności nieruchomości zajętych pod część drogi powiatowej nr 1056T pn. „Piasek Mały – Zborów – Piestrzec – Zołcza Ugory” w trybie art. 73 ustawy z dnia 13 października 1998r. - Przepisy wprowadzające ustawy reformujące administrację publiczną (Dz. U. Nr 133, poz. 872 z późn. zm.) na rzecz Powiatu Buskiego w odniesieniu do działki nr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189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color w:val="FF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położonej w obrębie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>Piasek Mały</w:t>
            </w: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</w:rPr>
              <w:t xml:space="preserve">, gm. Solec-Zdrój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(załącznik nr 7).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color w:val="000000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Przebieg wyznaczonych/wznowionych/ustalonych granic pasa drogowego zamarkować palikami.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Ustalone przez strony granice zajęcia nieruchomości pod drogę publiczną należy zastabilizować trwale w punktach charakterystycznych.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Zamawiający udostępni Wykonawcy dane potwierdzające władanie gruntem/drogą celem przygotowania odpowiedniej mapy do celów prawnych.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 xml:space="preserve">Dokumentacja geodezyjno-kartograficzna dla Zamawiającego będąca wynikiem przeprowadzonych czynności  powinna zawierać mapę z adnotacją o treści: </w:t>
            </w:r>
            <w:r>
              <w:rPr>
                <w:rFonts w:ascii="Cambria" w:hAnsi="Cambria"/>
                <w:b/>
                <w:bCs/>
                <w:i/>
                <w:iCs/>
                <w:sz w:val="22"/>
              </w:rPr>
              <w:t>„ Granice pasa drogowego wykazane na mapie są zgodne z faktycznym zajęciem gruntu pod drogę publiczną w dniu 31 grudnia 1998r.”</w:t>
            </w:r>
            <w:r>
              <w:rPr>
                <w:rFonts w:ascii="Cambria" w:hAnsi="Cambria"/>
                <w:b/>
                <w:bCs/>
                <w:sz w:val="22"/>
              </w:rPr>
              <w:t xml:space="preserve">  Jak również szczegółowy opis dokumentów ( w tym archiwalnych) wykorzystywanych do ustalenia faktycznego zajęcia gruntu na dzień 31.12.1998r. między innymi udostępnionych przez Zamawiającego w szczególności zdjęć lotniczych, operatów geodezyjnych</w:t>
            </w:r>
            <w:r>
              <w:rPr>
                <w:rFonts w:ascii="Cambria" w:hAnsi="Cambria"/>
                <w:b/>
                <w:bCs/>
                <w:strike/>
                <w:sz w:val="22"/>
              </w:rPr>
              <w:t>,</w:t>
            </w:r>
            <w:r>
              <w:rPr>
                <w:rFonts w:ascii="Cambria" w:hAnsi="Cambria"/>
                <w:b/>
                <w:bCs/>
                <w:sz w:val="22"/>
              </w:rPr>
              <w:t xml:space="preserve"> map, dokumentacji projektowej, ewidencji gruntów oraz innych dostępnych materiałów. Geodeta, zgodnie z aktualnym orzecznictwem sądowo-administracyjnym, zobowiązany jest wskazać i ocenić wszystkie materiały stanowiące podstawę ustalenia faktycznego zajęcia gruntu pod drogę publiczną na dzień 31.12.1998r. W opracowaniu należy wykazać, dlaczego przyjęty przebieg granicy odpowiada faktycznemu zajęciu gruntu pod drogę na dzień 31 grudnia 1998r., </w:t>
              <w:br/>
              <w:t xml:space="preserve">z odniesieniem do każdego wykorzystanego dowodu oraz wskazaniem jego znaczenia </w:t>
              <w:br/>
              <w:t>i wiarygodności.</w:t>
            </w:r>
          </w:p>
          <w:p>
            <w:pPr>
              <w:pStyle w:val="Normal"/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</w:r>
          </w:p>
          <w:p>
            <w:pPr>
              <w:pStyle w:val="Normal"/>
              <w:bidi w:val="0"/>
              <w:spacing w:lineRule="auto" w:line="360"/>
              <w:jc w:val="both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- OBRĘB ŻUKÓW: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284" w:leader="none"/>
              </w:tabs>
              <w:bidi w:val="0"/>
              <w:spacing w:lineRule="auto" w:line="360"/>
              <w:jc w:val="both"/>
              <w:rPr>
                <w:color w:val="000000"/>
                <w:sz w:val="22"/>
              </w:rPr>
            </w:pP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ustaleniu granic pasa drogowego części drogi powiatowej nr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1056T pn. „Piasek Mały – Zborów – Piestrzec – Zołcza Ugory”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poprzez wyznaczenie punktów granicznych/wznowienie znaków granicznych/ustalenie przebiegu granic działek ewidencyjnych dotyczącej części działki nr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102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położonej w obrębie </w:t>
            </w:r>
            <w:r>
              <w:rPr>
                <w:rFonts w:cs="Calibri" w:ascii="Cambria" w:hAnsi="Cambria"/>
                <w:b/>
                <w:color w:val="000000"/>
                <w:sz w:val="22"/>
                <w:szCs w:val="22"/>
              </w:rPr>
              <w:t>Żuków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, gm. Solec-Zdrój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(załącznik nr 8).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 xml:space="preserve"> Działka 102 stanowi własność Powiatu Buskiego,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color w:val="000000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wykonaniu pomiaru granic faktycznego przebiegu pasa drogowego,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single"/>
              </w:rPr>
              <w:t>celem ustalenia zasięgu zajętości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 przez drogę obszarów znajdujących się w granicach działek będących we własności lub władaniu innych podmiotów. S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zacuje się, że ilość działek zajętych na przedmiotowym odcinku </w:t>
              <w:br/>
              <w:t xml:space="preserve">w części pod pas drogowy, dla których należy opracować dokumentację geodezyjno-prawną niezbędną do wydania decyzji administracyjnych w postępowaniach prowadzonych w trybie ustawy z dnia 13 października 1998 r. - Przepisy wprowadzające ustawy reformujące administrację publiczną (Dz. U. Nr 133, poz. 872 z późn. zm.) wynosi </w:t>
            </w:r>
            <w:r>
              <w:rPr>
                <w:rFonts w:cs="Calibri" w:ascii="Cambria" w:hAnsi="Cambria"/>
                <w:b/>
                <w:bCs w:val="false"/>
                <w:color w:val="000000"/>
                <w:sz w:val="22"/>
                <w:szCs w:val="22"/>
                <w:u w:val="none"/>
              </w:rPr>
              <w:t>ok. 2</w:t>
            </w:r>
            <w:r>
              <w:rPr>
                <w:rFonts w:cs="Calibri" w:ascii="Cambria" w:hAnsi="Cambria"/>
                <w:b/>
                <w:bCs w:val="false"/>
                <w:color w:val="000000"/>
                <w:sz w:val="22"/>
                <w:szCs w:val="22"/>
                <w:u w:val="none"/>
              </w:rPr>
              <w:t>9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.  Wstępna analiza dostępnej dokumentacji geodezyjnej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single"/>
              </w:rPr>
              <w:t>może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 wskazywać na występowanie zajętości przez pas drogowy dla działek ewidencyjnych nr: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none"/>
              </w:rPr>
              <w:t xml:space="preserve">229, 231, 233, 235, 913/2, 54, 55, 56, 57, 58, 59, 60, 61, 62, 63/2, 64, 65, 66, 67, 68, 69, 70, 71, 72, 73, 74, 75, 259, 260. </w:t>
            </w:r>
            <w:r>
              <w:rPr>
                <w:rFonts w:cs="Calibri" w:ascii="Cambria" w:hAnsi="Cambria"/>
                <w:b/>
                <w:bCs w:val="false"/>
                <w:color w:val="000000"/>
                <w:sz w:val="22"/>
                <w:szCs w:val="22"/>
                <w:u w:val="single"/>
              </w:rPr>
              <w:t xml:space="preserve">Ostateczna ilość takich działek uzależniona będzie natomiast od wyników analiz i pomiarów dokonanych </w:t>
              <w:br/>
              <w:t>w ramach niniejszego zamówienia.</w:t>
            </w:r>
            <w:r>
              <w:rPr>
                <w:rFonts w:cs="Calibri" w:ascii="Cambria" w:hAnsi="Cambria"/>
                <w:b/>
                <w:bCs w:val="false"/>
                <w:color w:val="000000"/>
                <w:sz w:val="22"/>
                <w:szCs w:val="22"/>
                <w:u w:val="none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>W przypadku gdy pod drogę została zajęta część nieruchomości, która nie została wymieniona w treści niniejszego zapytania ofertowego należy również sporządzić dokumentację geodezyjną zawierającą podział tych działek w zakresie zajęcia pod drogę w dacie 31.12.1998r.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 w:cs="Calibri"/>
                <w:b w:val="false"/>
                <w:bCs w:val="false"/>
                <w:color w:val="FF0000"/>
                <w:sz w:val="22"/>
                <w:szCs w:val="22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opracowaniu dokumentacji geodezyjno-prawnej niezbędnej do uregulowania własności nieruchomości zajętych pod część drogi powiatowej nr 1056T pn. „Piasek Mały – Zborów – Piestrzec – Zołcza Ugory” w trybie art. 73 ustawy z dnia 13 października 1998r. - Przepisy wprowadzające ustawy reformujące administrację publiczną (Dz. U. Nr 133, poz. 872 z późn. zm.) na rzecz Powiatu Buskiego w odniesieniu do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  <w:u w:val="none"/>
              </w:rPr>
              <w:t xml:space="preserve">działek ewidencyjnych nr: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  <w:u w:val="none"/>
              </w:rPr>
              <w:t>229, 231, 233, 235, 913/2, 54, 55, 56, 57, 58, 59, 60, 61, 62, 63/2, 64, 65, 66, 67, 68, 69, 70, 71, 72, 73, 74, 75, 259, 260.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 xml:space="preserve">  położonych w obrębie </w:t>
            </w: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  <w:t>Żuków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, gm. Solec-Zdrój</w:t>
            </w:r>
            <w:r>
              <w:rPr>
                <w:rFonts w:cs="Calibri" w:ascii="Cambria" w:hAnsi="Cambria"/>
                <w:b w:val="false"/>
                <w:bCs w:val="false"/>
                <w:color w:val="FF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(załącznik nr 8).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color w:val="000000"/>
                <w:sz w:val="22"/>
              </w:rPr>
            </w:pPr>
            <w:r>
              <w:rPr>
                <w:rFonts w:cs="Calibri" w:ascii="Cambria" w:hAnsi="Cambria"/>
                <w:b w:val="false"/>
                <w:bCs w:val="false"/>
                <w:color w:val="000000"/>
                <w:sz w:val="22"/>
                <w:szCs w:val="22"/>
              </w:rPr>
              <w:t>Przebieg wyznaczonych/wznowionych/ustalonych granic pasa drogowego zamarkować palikami.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color w:val="000000"/>
                <w:sz w:val="22"/>
                <w:szCs w:val="22"/>
              </w:rPr>
              <w:t>Ustalone przez strony granice zajęcia nieruchomości pod drogę publiczną należy zastabilizować trwale w punktach charakterystycznych.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>Po przeprowadzonej analizie materiałów i pomiarze w terenie Wykonawca przekaże Zamawiającemu numery działek ewidencyjnych ze stwierdzoną zajętością (jeśli nie zostały wymienione w treści niniejszego zapytania ofertowego). Zamawiający udostępni Wykonawcy dane potwierdzające władanie gruntem/drogą celem przygotowania odpowiednich  map do celów prawnych.</w:t>
            </w:r>
          </w:p>
          <w:p>
            <w:pPr>
              <w:pStyle w:val="Normal"/>
              <w:numPr>
                <w:ilvl w:val="0"/>
                <w:numId w:val="7"/>
              </w:numPr>
              <w:bidi w:val="0"/>
              <w:spacing w:lineRule="auto" w:line="36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 xml:space="preserve">Dokumentacja geodezyjno-kartograficzna dla Zamawiającego będąca wynikiem przeprowadzonych czynności  powinna zawierać mapę z adnotacją o treści: </w:t>
            </w:r>
            <w:r>
              <w:rPr>
                <w:rFonts w:ascii="Cambria" w:hAnsi="Cambria"/>
                <w:b/>
                <w:bCs/>
                <w:i/>
                <w:iCs/>
                <w:sz w:val="22"/>
              </w:rPr>
              <w:t>„ Granice pasa drogowego wykazane na mapie są zgodne z faktycznym zajęciem gruntu pod drogę publiczną w dniu 31 grudnia 1998r.”</w:t>
            </w:r>
            <w:r>
              <w:rPr>
                <w:rFonts w:ascii="Cambria" w:hAnsi="Cambria"/>
                <w:b/>
                <w:bCs/>
                <w:sz w:val="22"/>
              </w:rPr>
              <w:t xml:space="preserve">  Jak również szczegółowy opis dokumentów ( w tym archiwalnych) wykorzystywanych do ustalenia faktycznego zajęcia gruntu na dzień 31.12.1998r. między innymi udostępnionych przez Zamawiającego w szczególności zdjęć lotniczych, operatów geodezyjnych</w:t>
            </w:r>
            <w:r>
              <w:rPr>
                <w:rFonts w:ascii="Cambria" w:hAnsi="Cambria"/>
                <w:b/>
                <w:bCs/>
                <w:strike/>
                <w:sz w:val="22"/>
              </w:rPr>
              <w:t>,</w:t>
            </w:r>
            <w:r>
              <w:rPr>
                <w:rFonts w:ascii="Cambria" w:hAnsi="Cambria"/>
                <w:b/>
                <w:bCs/>
                <w:sz w:val="22"/>
              </w:rPr>
              <w:t xml:space="preserve"> map, dokumentacji projektowej, ewidencji gruntów oraz innych dostępnych materiałów. Geodeta, zgodnie z aktualnym orzecznictwem sądowo-administracyjnym, zobowiązany jest wskazać i ocenić wszystkie materiały stanowiące podstawę ustalenia faktycznego zajęcia gruntu pod drogę publiczną na dzień 31.12.1998r. W opracowaniu należy wykazać, dlaczego przyjęty przebieg granicy odpowiada faktycznemu zajęciu gruntu pod drogę na dzień 31 grudnia 1998r., </w:t>
              <w:br/>
              <w:t xml:space="preserve">z odniesieniem do każdego wykorzystanego dowodu oraz wskazaniem jego znaczenia </w:t>
              <w:br/>
              <w:t>i wiarygodności.</w:t>
            </w:r>
          </w:p>
          <w:p>
            <w:pPr>
              <w:pStyle w:val="Normal"/>
              <w:bidi w:val="0"/>
              <w:spacing w:lineRule="auto" w:line="360"/>
              <w:jc w:val="both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mbria" w:hAnsi="Cambria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uto" w:line="360"/>
              <w:ind w:hanging="0" w:left="0" w:right="140"/>
              <w:jc w:val="both"/>
              <w:rPr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Ze szczegółowymi danymi geodezyjnymi dotyczącymi obszaru opracowań można się zapoznać na geoportalu Powiatu Buskiego na stronie internetowej:  </w:t>
            </w:r>
            <w:hyperlink r:id="rId2">
              <w:r>
                <w:rPr>
                  <w:rStyle w:val="Hyperlink"/>
                  <w:rFonts w:cs="Calibri" w:ascii="Cambria" w:hAnsi="Cambria"/>
                  <w:sz w:val="22"/>
                  <w:szCs w:val="22"/>
                  <w:lang w:val="pl-PL" w:eastAsia="zh-TW" w:bidi="ar-SA"/>
                </w:rPr>
                <w:t>http://geodezja.powiat.busko.pl</w:t>
              </w:r>
            </w:hyperlink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  <w:u w:val="single"/>
              </w:rPr>
              <w:t>Zakres prac obejmuje analizę materiałów PZGiK, analizę stanu prawnego przedmiotowych działek, pomiar w terenie, wyznaczenie punktów granicznych/wznowienie znaków granicznych/ustalenie przebiegu granic działek, sporządzenie wykazów zmian do wprowadzenia zmian w operacie ewidencji gruntów oraz opracowanie dokumentacji geodezyjno-prawnej do regulacji stanu prawnego nieruchomości.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>Dokładności -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Dla objętych opracowaniem działek należy pozyskać zgodne z obowiązującymi standardami (dokładność szczegółu terenowego I grupy dokładnościowej) dane o punktach granicznych, niezbędne do wyznaczenia/wznowienia/ustalenia granic pomiędzy tymi działkami a działkami ewidencyjnymi stanowiącymi część dróg powiatowych będących własnością Powiatu Buskiego.</w:t>
            </w:r>
          </w:p>
          <w:p>
            <w:pPr>
              <w:pStyle w:val="Normal"/>
              <w:shd w:fill="FFFFFF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>W tym celu należy dokonać w pierwszej kolejności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(zgodnie z §7 </w:t>
            </w:r>
            <w:r>
              <w:rPr>
                <w:rFonts w:cs="Calibri" w:ascii="Cambria" w:hAnsi="Cambria"/>
                <w:i/>
                <w:sz w:val="22"/>
                <w:szCs w:val="22"/>
              </w:rPr>
              <w:t xml:space="preserve">rozporządzenia Ministra Rozwoju </w:t>
              <w:br/>
              <w:t>z dnia 18 sierpnia 2020 r. w sprawie standardów technicznych wykonywania geodezyjnych pomiarów sytuacyjnych i wysokościowych oraz opracowywania i przekazywania wyników tych pomiarów do państwowego zasobu geodezyjnego i kartograficznego (Dz. U. poz. 1429 z późn. zm.)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)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analizy dokumentacji znajdującej się w państwowym zasobie geodezyjnym i kartograficznym pod względem dokładności, aktualności i kompletności.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W zależności od jej wyników należy przewidzieć konieczność ustalenia przebiegu granic działek ewidencyjnych lub wyznaczenia punktów czy też wznowienia odpowiednich znaków granicznych, niezbędnych do wykonania niniejszego zamówienia.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Jeżeli materiały zasobu nie pozwolą na wyznaczenie punktów granicznych/wznowienie znaków granicznych z dokładnością właściwą dla szczegółów I grupy, dane dotyczące położenia granic przedmiotowych działek ewidencyjnych należy pozyskać w wyniku pomiarów geodezyjnych poprzedzonych ustaleniem przebiegu tych granic w trybie rozporządzenia Ministra Rozwoju, Pracy </w:t>
              <w:br/>
              <w:t>i Technologii z dnia 27 lipca 2021 r. w sprawie ewidencji gruntów i budynków.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Ustalenie przebiegu granic działek ewidencyjnych nie może być sprzeczne z informacjami zawartymi w dostępnych dokumentach dotyczących przebiegu ustalanych granic </w:t>
              <w:br/>
              <w:t>i w dokumentach określających stan prawny gruntów w granicach tych działek.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O czynnościach „granicznych” należy zgodnie z zasadami określonymi w przepisach z zakresu geodezji </w:t>
              <w:br/>
              <w:t>i kartografii zawiadomić uczestników postępowania, a z przeprowadzonych czynności sporządzić właściwe protokoły.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24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Ustalenie stanu prawnego nieruchomości dokonać na podstawie: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720" w:leader="none"/>
              </w:tabs>
              <w:bidi w:val="0"/>
              <w:spacing w:lineRule="auto" w:line="240"/>
              <w:ind w:hanging="360" w:left="72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operatów ewidencji gruntów i budynków,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720" w:leader="none"/>
              </w:tabs>
              <w:bidi w:val="0"/>
              <w:spacing w:lineRule="auto" w:line="240"/>
              <w:ind w:hanging="360" w:left="72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dokumentów zawartych w księgach wieczystych i zbiorach dokumentów,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720" w:leader="none"/>
              </w:tabs>
              <w:bidi w:val="0"/>
              <w:spacing w:lineRule="auto" w:line="240"/>
              <w:ind w:hanging="360" w:left="72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dokumentów prawnych uzyskanych od zainteresowanych stron.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left" w:pos="720" w:leader="none"/>
              </w:tabs>
              <w:bidi w:val="0"/>
              <w:spacing w:lineRule="auto" w:line="240"/>
              <w:ind w:hanging="0" w:left="72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 w:cs="Calibri"/>
                <w:b/>
                <w:sz w:val="22"/>
                <w:szCs w:val="22"/>
                <w:u w:val="single"/>
              </w:rPr>
            </w:pPr>
            <w:r>
              <w:rPr>
                <w:rFonts w:cs="Calibri" w:ascii="Cambria" w:hAnsi="Cambria"/>
                <w:b/>
                <w:sz w:val="22"/>
                <w:szCs w:val="22"/>
                <w:u w:val="single"/>
              </w:rPr>
              <w:t>W odniesieniu do działek ze stwierdzoną zajętością: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Pomiar, protokół z ustalenia granic wg stanu na dzień 31.12.1998r. -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Wykonawca na obszarze działek objętych opracowaniem dokona uzupełniających pomiarów obiektów pozwalających na określenie faktycznych granic przebiegu pasa drogowego, celem ustalenia zajętości przez drogę obszarów znajdujących się w granicach działek będących we własności lub władaniu innych podmiotów. Ponadto należy określić przebieg granicy pasa drogowego według stanu na dzień 31.12.1998 r., celem ustalenia zajętości przez drogę gruntów znajdujących się w granicach działek będących we własności lub władaniu innych podmiotów, dla których należy opracować projekty podziałów niezbędne do złożenia wniosków do Wojewody Świętokrzyskiego o wydanie decyzji zatwierdzających przejście prawa własności nieruchomości zajętych pod drogę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publiczną</w:t>
            </w:r>
            <w:r>
              <w:rPr>
                <w:rFonts w:cs="Calibri" w:ascii="Cambria" w:hAnsi="Cambria"/>
                <w:color w:val="FF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color w:val="000000"/>
                <w:sz w:val="22"/>
                <w:szCs w:val="22"/>
              </w:rPr>
              <w:t>na podstawie art. 73 ustawy z dnia 13 października 1998 r. Przepisy wprowadzające ustawy reformujące administrację publiczną (Dz.U. z 1998 r. nr 133 poz. 872 z póź. zm.).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Ostateczna ilość działek, dla których należy sporządzić dokumentację do wniosków </w:t>
              <w:br/>
              <w:t>o stwierdzenie nabycia przez Powiat Buski z dniem 1 stycznia 1999 r. na podstawie art. 73 powyższej ustawy prawa własności części nieruchomości, zajętych pod część przedmiotowych dróg powiatowych uzależniona będzie od wyników powyższych analiz i pomiarów.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Celem ustalenia zakresu zajętości pasa drogowego na dzień 31.12.1998 r. Wykonawca pozyska konieczne informacje, np. w wyniku wywiadu terenowego, analizy sposobu i trwałości zagospodarowania pasa drogowego, oświadczeń właścicieli nieruchomości, materiałów archiwalnych znajdujących się w PODGiK udostępnionych przez Zamawiającego.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360"/>
              <w:ind w:hanging="0" w:left="0" w:right="14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Ustalenie granic zajętości nieruchomości pod drogę publiczną wg stanu na dzień 31 grudnia 1998 roku należy dokonać w obecności właściwych zarządców dróg oraz właścicieli nieruchomości (na dzień 31 grudnia 1998 roku) lub ich następców prawnych.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Z czynności określenia faktycznej granicy zajęcia nieruchomości pod pas drogowy należy sporządzić oddzielny protokół (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>Protokół z ustalenia granic zajęcia pod drogę publiczną wg stanu w dniu 31.12.1998r.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).  Protokół powinien być zredagowany w formie tabelarycznej, z odrębnymi wierszami dla poszczególnych działek. Powinien zawierać informacje o źródłach  pozyskania informacji granicy zajętości pasa drogowego na dzień 31.12.1998 r. dla poszczególnych działek, lub ewentualne oświadczenia właścicieli nieruchomości zajętych potwierdzające zajętość gruntu przez pas drogowy </w:t>
              <w:br/>
              <w:t>w powyższej dacie, informacje o właścicielu działki na dzień 31.12.1998 r. lub o jego ewentualnych następcach prawnych, podpis osoby dokonującej czynności powyższych ustaleń oraz ewentualne podpisy zainteresowanych stron jeżeli w tych czynnościach uczestniczyły.</w:t>
            </w:r>
          </w:p>
          <w:p>
            <w:pPr>
              <w:pStyle w:val="Normal"/>
              <w:shd w:fill="FFFFFF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Mapa </w:t>
            </w:r>
            <w:r>
              <w:rPr>
                <w:rFonts w:cs="Calibri" w:ascii="Cambria" w:hAnsi="Cambria"/>
                <w:b/>
                <w:color w:val="000000"/>
                <w:sz w:val="22"/>
                <w:szCs w:val="22"/>
              </w:rPr>
              <w:t xml:space="preserve">do celów prawnych </w:t>
            </w: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-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Na podstawie wyżej opisanych analiz i pomiarów należy opracować projekty podziału działek pierwotnych, z wykazaniem nowej linii granicznej, zgodnej z granicą nabycia </w:t>
              <w:br/>
              <w:t>z mocy prawa własności gruntów pod drogę publiczną.</w:t>
            </w:r>
            <w:r>
              <w:rPr>
                <w:rFonts w:cs="Calibri" w:ascii="Cambria" w:hAnsi="Cambria"/>
                <w:color w:val="FF0000"/>
                <w:sz w:val="22"/>
                <w:szCs w:val="22"/>
              </w:rPr>
              <w:t xml:space="preserve"> </w:t>
            </w:r>
            <w:r>
              <w:rPr>
                <w:rFonts w:cs="Calibri" w:ascii="Cambria" w:hAnsi="Cambria"/>
                <w:sz w:val="22"/>
                <w:szCs w:val="22"/>
              </w:rPr>
              <w:t>Mapy z projektami podziału należy opracować zgodnie z zasadami wskazanymi w ustawie z dnia 21 sierpnia 1997 r. o gospodarce nieruchomościami (t.j. Dz. U. z 2026 r. poz. 399) oraz związanymi z nią przepisami wykonawczymi, dotyczącymi opracowania map do celów prawnych.</w:t>
            </w:r>
          </w:p>
          <w:p>
            <w:pPr>
              <w:pStyle w:val="Normal"/>
              <w:tabs>
                <w:tab w:val="clear" w:pos="720"/>
                <w:tab w:val="left" w:pos="284" w:leader="none"/>
              </w:tabs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Powierzchnie projektowanych działek należy obliczać w oparciu o współrzędne punktów granicznych spełniających kryterium dokładności właściwej dla szczegółu I grupy dokładnościowej. W przypadkach, </w:t>
              <w:br/>
              <w:t xml:space="preserve">w których nie było konieczności określania przebiegu wszystkich granic działek dzielonych, z których nastąpi wydzielenie nieruchomości nabywanych na własność Powiatu Buskiego (wydzielanie działek </w:t>
              <w:br/>
              <w:t xml:space="preserve">o powierzchni mniejszej niż 33% działki dzielonej), powierzchnię działki pozostającej poza pasem drogowym można obliczyć z różnic powierzchni ewidencyjnej i obliczonej, przy zachowaniu dotychczasowej precyzji wykazania tej powierzchni. W takich przypadkach Wykonawca zobowiązany jest do pozyskania zgodnych z obowiązującymi standardami danych o punktach granicznych określających przebieg odcinków granicznych, na których położone będą projektowane w związku </w:t>
              <w:br/>
              <w:t>z podziałem nowe punkty graniczne oraz punktów granicznych wyznaczających granicę z obecną działką drogową.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 xml:space="preserve">Z uwagi na fakt, że ustalenie granic zajętości nieruchomości przez pas drogowy nastąpi na podstawie jego określenia na dzień 31.12.1998 r., na mapie z </w:t>
            </w:r>
            <w:r>
              <w:rPr>
                <w:rFonts w:cs="Calibri" w:ascii="Cambria" w:hAnsi="Cambria"/>
                <w:b/>
                <w:sz w:val="22"/>
                <w:szCs w:val="22"/>
                <w:u w:val="single"/>
              </w:rPr>
              <w:t>ustaloną zajętością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 należy zamieścić klauzulę: </w:t>
            </w:r>
            <w:r>
              <w:rPr>
                <w:rFonts w:cs="Calibri" w:ascii="Cambria" w:hAnsi="Cambria"/>
                <w:b/>
                <w:bCs/>
                <w:i/>
                <w:sz w:val="22"/>
                <w:szCs w:val="22"/>
                <w:u w:val="single"/>
              </w:rPr>
              <w:t>„Granice pasa drogowego wykazane na mapie są zgodne z faktycznym zajęciem gruntu pod drogę publiczną w dniu 31.12.1998 r.”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Wykaz zmian gruntowych -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W ramach zamówienia należy opracować wykazy zmian gruntowych, które </w:t>
              <w:br/>
              <w:t xml:space="preserve">w zakresie przedmiotowym powinny zawierać „stan stary” uwzględniający zmiany wynikające z projektu podziału opartego na ustalonej linii zajętości pasa gruntu na dzień 31.12.1998 r., oraz „stan nowy” wynikający z aktualnych danych ewidencji gruntów. Wykaz powinien zawierać dane ewidencyjne dotyczące działek, w szczególności takie jak ich numery, powierzchnie, oznaczenia i powierzchnie klasoużytków - zgodnie z zasadami określonymi w ustawie o gospodarce nieruchomościami </w:t>
              <w:br/>
              <w:t>i związanymi z nią przepisami wykonawczymi. Nowe numery działek powstałych w wyniku projektu podziału należy nadawać również zgodnie z zasadami właściwymi dla projektów podziałów opracowywanych w trybie ustawy o gospodarce nieruchomościami.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W „stanie nowym” należy wykazać faktyczne (wynikające z ustaleń wykonawcy pracy geodezyjnej) oznaczenia użytków gruntowych. W części zajętej pod drogę publiczną należy wykazać faktyczny stan użytkowania z oznaczeniem „dr”.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Oprócz informacji dotyczących stanu działki przed podziałem i po podziale, wykazy będą zawierać również dane podmiotów, w których własności lub władaniu znajdują się lub znajdowały się działki objęte opracowaniem.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W związku z tym wykaz zmian gruntowych powinien zawierać kolumnę z ustalonym stanem własności na dzień 31.12.1998 r. (stan prawny na dzień 31.12.1998r.) oraz kolumnę obrazującą stan własności nieruchomości na dzień opracowania wykazu (aktualny stan prawny wg EGiB). W kolumnach tych należy wykazać tytuły/nomenklaturę/oznaczenia dokumentów w oparciu, o które stan prawny został ustalony.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sz w:val="22"/>
                <w:szCs w:val="22"/>
              </w:rPr>
              <w:t>Wykaz ma zawierać również kolumnę uwagi, w której należy wykazać informacje wskazujące które działki zostały zajęte pod pas drogowy.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rFonts w:cs="Calibri" w:ascii="Cambria" w:hAnsi="Cambria"/>
                <w:b w:val="false"/>
                <w:bCs w:val="false"/>
                <w:sz w:val="22"/>
                <w:szCs w:val="22"/>
                <w:u w:val="single"/>
              </w:rPr>
              <w:t>Ostateczna forma wykazu zmian gruntowych zostanie ustalona z Zamawiającym przed zakończeniem opracowania.</w:t>
            </w:r>
          </w:p>
          <w:p>
            <w:pPr>
              <w:pStyle w:val="Normal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Wykaz synchronizacyjny -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W przypadku stwierdzenia rozbieżności między stanem wykazanym </w:t>
              <w:br/>
              <w:t xml:space="preserve">w ewidencji gruntów a stanem wynikającym z dokumentacji stanu prawnego nieruchomości </w:t>
              <w:br/>
              <w:t>(w szczególności z ksiąg wieczystych), Wykonawca załączy do opracowanej dokumentacji wykazy synchronizacyjne pozwalające na właściwe oznaczenie nieruchomości w księdze wieczystej oraz zidentyfikowanie nieruchomości opisanych w dokumentacji stanu prawnego z danymi ewidencji gruntów i budynków.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Przekazanie wyników opracowania - </w:t>
            </w:r>
            <w:r>
              <w:rPr>
                <w:rFonts w:cs="Calibri" w:ascii="Cambria" w:hAnsi="Cambria"/>
                <w:sz w:val="22"/>
                <w:szCs w:val="22"/>
              </w:rPr>
              <w:t>Wykonawca z wykonanej pracy geodezyjnej skompletuje zgodnie z obowiązującymi w zakresie geodezji i kartografii przepisami dokumentację geodezyjną – operat techniczny z plikami wynikowymi, z przeznaczeniem do włączenia do państwowego zasobu geodezyjnego i kartograficznego.</w:t>
            </w:r>
          </w:p>
          <w:p>
            <w:pPr>
              <w:pStyle w:val="Akapitzlist"/>
              <w:bidi w:val="0"/>
              <w:spacing w:lineRule="auto" w:line="360"/>
              <w:ind w:hanging="0" w:left="0" w:right="0"/>
              <w:jc w:val="both"/>
              <w:rPr>
                <w:rFonts w:ascii="Cambria" w:hAnsi="Cambria"/>
              </w:rPr>
            </w:pPr>
            <w:r>
              <w:rPr>
                <w:rFonts w:cs="Calibri" w:ascii="Cambria" w:hAnsi="Cambria"/>
                <w:b/>
                <w:sz w:val="22"/>
                <w:szCs w:val="22"/>
                <w:u w:val="single"/>
              </w:rPr>
              <w:t>Materiały dla Zamawiającego:</w:t>
            </w:r>
          </w:p>
          <w:p>
            <w:pPr>
              <w:pStyle w:val="Normal"/>
              <w:bidi w:val="0"/>
              <w:spacing w:lineRule="auto" w:line="360"/>
              <w:ind w:hanging="0" w:left="44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cs="Calibri" w:ascii="Cambria" w:hAnsi="Cambria"/>
                <w:b/>
                <w:bCs/>
                <w:sz w:val="22"/>
                <w:szCs w:val="22"/>
                <w:u w:val="single"/>
              </w:rPr>
              <w:t xml:space="preserve">przed skompletowaniem i złożeniem operatu do PODGiK mapy do celów prawnych, mapy </w:t>
              <w:br/>
              <w:t>z projektami podziału oraz wykazy zmian gruntowych przedłożyć Zamawiającemu w celu weryfikacji,</w:t>
            </w:r>
          </w:p>
          <w:p>
            <w:pPr>
              <w:pStyle w:val="Normal"/>
              <w:bidi w:val="0"/>
              <w:spacing w:lineRule="auto" w:line="360"/>
              <w:ind w:hanging="0" w:left="44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>- w przypadku występowania zajętości należy sporządzić mapę na formacie nie większym niż A1 w takiej liczbie egzemplarzy ile występuje działek na danej mapie (dla których stwierdzono zajętość). W przypadku większego niż A1 formatu mapy należy sporządzić mapę w formacie arkuszowym numerując kolejno arkusze mapy i w takiej liczbie egzemplarzy ile występuje działek na danym arkuszu ze stwierdzoną zajętością (format mapy uzgodnić z Zamawiającym),</w:t>
            </w:r>
          </w:p>
          <w:p>
            <w:pPr>
              <w:pStyle w:val="Normal"/>
              <w:bidi w:val="0"/>
              <w:spacing w:lineRule="auto" w:line="360" w:before="0" w:after="160"/>
              <w:ind w:hanging="0" w:left="44" w:right="0"/>
              <w:jc w:val="both"/>
              <w:rPr>
                <w:rFonts w:ascii="Cambria" w:hAnsi="Cambria"/>
                <w:sz w:val="22"/>
              </w:rPr>
            </w:pPr>
            <w:r>
              <w:rPr>
                <w:rFonts w:cs="Calibri" w:ascii="Cambria" w:hAnsi="Cambria"/>
                <w:b/>
                <w:sz w:val="22"/>
                <w:szCs w:val="22"/>
              </w:rPr>
              <w:t xml:space="preserve">- </w:t>
            </w:r>
            <w:r>
              <w:rPr>
                <w:rFonts w:cs="Calibri" w:ascii="Cambria" w:hAnsi="Cambria"/>
                <w:sz w:val="22"/>
                <w:szCs w:val="22"/>
              </w:rPr>
              <w:t xml:space="preserve">podczas przekazywania do PODGiK operatu technicznego z opracowanej dokumentacji w przypadku protokołów granicznych wznowienia/wyznaczenia/ustalania granic/przyjęcia granic należy złożyć wraz </w:t>
              <w:br/>
              <w:t>z operatem oryginały ww. protokołów granicznych wraz ze zwrotnymi potwierdzeniami odbioru zawiadomień  stron.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b/>
          <w:lang w:eastAsia="pl-PL"/>
        </w:rPr>
      </w:pPr>
      <w:r>
        <w:rPr>
          <w:rFonts w:eastAsia="Times New Roman" w:cs="Times New Roman" w:ascii="Cambria" w:hAnsi="Cambria"/>
          <w:b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3. Warunki udziału w postępowaniu.</w:t>
      </w:r>
    </w:p>
    <w:p>
      <w:pPr>
        <w:pStyle w:val="BodyText"/>
        <w:tabs>
          <w:tab w:val="clear" w:pos="720"/>
          <w:tab w:val="left" w:pos="511" w:leader="none"/>
          <w:tab w:val="right" w:pos="5848" w:leader="none"/>
          <w:tab w:val="right" w:pos="7624" w:leader="none"/>
        </w:tabs>
        <w:bidi w:val="0"/>
        <w:spacing w:lineRule="auto" w:line="360" w:before="0" w:after="0"/>
        <w:jc w:val="both"/>
        <w:rPr>
          <w:rFonts w:ascii="Cambria" w:hAnsi="Cambria"/>
        </w:rPr>
      </w:pPr>
      <w:r>
        <w:rPr>
          <w:rFonts w:cs="Calibri Light" w:ascii="Cambria" w:hAnsi="Cambria"/>
          <w:i w:val="false"/>
          <w:sz w:val="22"/>
          <w:szCs w:val="22"/>
          <w:u w:val="none"/>
        </w:rPr>
        <w:t xml:space="preserve">a)  Zamawiający wymaga, aby Wykonawca dysponował na etapie realizacji zamówienia minimum jedną osobą zdolną do wykonania zamówienia, która spełnia następujące wymagania: </w:t>
      </w:r>
    </w:p>
    <w:p>
      <w:pPr>
        <w:pStyle w:val="BodyText"/>
        <w:tabs>
          <w:tab w:val="clear" w:pos="720"/>
          <w:tab w:val="right" w:pos="5848" w:leader="none"/>
          <w:tab w:val="right" w:pos="7624" w:leader="none"/>
        </w:tabs>
        <w:bidi w:val="0"/>
        <w:spacing w:lineRule="auto" w:line="360" w:before="0" w:after="0"/>
        <w:ind w:hanging="0" w:left="0" w:right="-2"/>
        <w:jc w:val="both"/>
        <w:rPr>
          <w:rFonts w:ascii="Cambria" w:hAnsi="Cambria"/>
        </w:rPr>
      </w:pPr>
      <w:r>
        <w:rPr>
          <w:rFonts w:cs="Calibri Light" w:ascii="Cambria" w:hAnsi="Cambria"/>
        </w:rPr>
        <w:t xml:space="preserve">-     </w:t>
      </w:r>
      <w:r>
        <w:rPr>
          <w:rFonts w:cs="Calibri Light" w:ascii="Cambria" w:hAnsi="Cambria"/>
          <w:i w:val="false"/>
          <w:sz w:val="22"/>
          <w:szCs w:val="22"/>
        </w:rPr>
        <w:t xml:space="preserve">posiada uprawnienia w dziedzinie geodezji i kartografii w zakresie </w:t>
      </w:r>
      <w:r>
        <w:rPr>
          <w:rFonts w:cs="Calibri Light" w:ascii="Cambria" w:hAnsi="Cambria"/>
          <w:b/>
          <w:i w:val="false"/>
          <w:sz w:val="22"/>
          <w:szCs w:val="22"/>
        </w:rPr>
        <w:t>1 i 2</w:t>
      </w:r>
      <w:r>
        <w:rPr>
          <w:rFonts w:cs="Calibri Light" w:ascii="Cambria" w:hAnsi="Cambria"/>
          <w:i w:val="false"/>
          <w:sz w:val="22"/>
          <w:szCs w:val="22"/>
        </w:rPr>
        <w:t xml:space="preserve"> określone art.43 pkt. 1 i 2 ustawy z dnia 17 maja 1989 r. Prawo geodezyjne i kartograficzne (Dz.U. z 2024 r. poz. 1151 t.j.).  </w:t>
      </w:r>
      <w:r>
        <w:rPr>
          <w:rFonts w:cs="Calibri Light" w:ascii="Cambria" w:hAnsi="Cambria"/>
          <w:i w:val="false"/>
          <w:sz w:val="22"/>
          <w:szCs w:val="22"/>
          <w:u w:val="single"/>
          <w:lang w:eastAsia="pl-PL"/>
        </w:rPr>
        <w:t xml:space="preserve">Na potwierdzenie należy złożyć oświadczenie </w:t>
      </w:r>
      <w:r>
        <w:rPr>
          <w:rFonts w:cs="Calibri Light" w:ascii="Cambria" w:hAnsi="Cambria"/>
          <w:i w:val="false"/>
          <w:color w:val="000000"/>
          <w:sz w:val="22"/>
          <w:szCs w:val="22"/>
          <w:u w:val="single"/>
          <w:lang w:eastAsia="pl-PL"/>
        </w:rPr>
        <w:t>(załącznik nr 9).</w:t>
      </w:r>
    </w:p>
    <w:p>
      <w:pPr>
        <w:pStyle w:val="ustep"/>
        <w:bidi w:val="0"/>
        <w:spacing w:lineRule="auto" w:line="360" w:before="0" w:after="0"/>
        <w:jc w:val="both"/>
        <w:rPr>
          <w:rFonts w:ascii="Cambria" w:hAnsi="Cambria"/>
        </w:rPr>
      </w:pPr>
      <w:r>
        <w:rPr>
          <w:rFonts w:cs="Calibri Light" w:ascii="Cambria" w:hAnsi="Cambria"/>
          <w:b w:val="false"/>
          <w:bCs w:val="false"/>
          <w:i w:val="false"/>
          <w:iCs w:val="false"/>
          <w:sz w:val="22"/>
          <w:szCs w:val="22"/>
        </w:rPr>
        <w:t xml:space="preserve">b)  Do ofert </w:t>
      </w:r>
      <w:r>
        <w:rPr>
          <w:rFonts w:cs="Calibri Light" w:ascii="Cambria" w:hAnsi="Cambria"/>
          <w:b/>
          <w:bCs/>
          <w:i w:val="false"/>
          <w:iCs w:val="false"/>
          <w:color w:val="000000"/>
          <w:sz w:val="22"/>
          <w:szCs w:val="22"/>
          <w:u w:val="single"/>
        </w:rPr>
        <w:t xml:space="preserve">można </w:t>
      </w:r>
      <w:r>
        <w:rPr>
          <w:rFonts w:cs="Calibri Light" w:ascii="Cambria" w:hAnsi="Cambria"/>
          <w:b w:val="false"/>
          <w:bCs w:val="false"/>
          <w:i w:val="false"/>
          <w:iCs w:val="false"/>
          <w:sz w:val="22"/>
          <w:szCs w:val="22"/>
        </w:rPr>
        <w:t xml:space="preserve">załączyć aktualny odpis z właściwego rejestru lub wydruk ze strony internetowej  Centralnej Ewidencji i Informacji o Działalności Gospodarczej. </w:t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4. </w:t>
      </w:r>
      <w:r>
        <w:rPr>
          <w:rFonts w:eastAsia="Times New Roman" w:cs="Times New Roman" w:ascii="Cambria" w:hAnsi="Cambria"/>
          <w:b/>
          <w:bCs/>
          <w:lang w:eastAsia="pl-PL"/>
        </w:rPr>
        <w:t>Termin realizacji zamówienia: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285" w:leader="none"/>
          <w:tab w:val="left" w:pos="855" w:leader="none"/>
        </w:tabs>
        <w:suppressAutoHyphens w:val="true"/>
        <w:bidi w:val="0"/>
        <w:spacing w:lineRule="auto" w:line="240" w:before="0" w:after="0"/>
        <w:ind w:hanging="567" w:left="907" w:right="0"/>
        <w:jc w:val="both"/>
        <w:rPr>
          <w:sz w:val="22"/>
          <w:szCs w:val="22"/>
        </w:rPr>
      </w:pPr>
      <w:r>
        <w:rPr>
          <w:rFonts w:cs="Calibri Light" w:ascii="Cambria" w:hAnsi="Cambria"/>
          <w:color w:val="000000"/>
          <w:sz w:val="22"/>
          <w:szCs w:val="22"/>
        </w:rPr>
        <w:t>Zadanie nr 1</w:t>
      </w:r>
      <w:r>
        <w:rPr>
          <w:rFonts w:cs="Calibri Light" w:ascii="Cambria" w:hAnsi="Cambria"/>
          <w:b/>
          <w:color w:val="000000"/>
          <w:sz w:val="22"/>
          <w:szCs w:val="22"/>
        </w:rPr>
        <w:t xml:space="preserve"> – </w:t>
      </w:r>
      <w:r>
        <w:rPr>
          <w:rFonts w:cs="Calibri Light" w:ascii="Cambria" w:hAnsi="Cambria"/>
          <w:b/>
          <w:bCs/>
          <w:color w:val="000000"/>
          <w:sz w:val="22"/>
          <w:szCs w:val="22"/>
        </w:rPr>
        <w:t>do 15.12.2026r.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285" w:leader="none"/>
          <w:tab w:val="left" w:pos="855" w:leader="none"/>
        </w:tabs>
        <w:suppressAutoHyphens w:val="true"/>
        <w:bidi w:val="0"/>
        <w:spacing w:lineRule="auto" w:line="240" w:before="0" w:after="0"/>
        <w:ind w:hanging="737" w:left="1077" w:right="0"/>
        <w:jc w:val="both"/>
        <w:rPr>
          <w:sz w:val="22"/>
          <w:szCs w:val="22"/>
        </w:rPr>
      </w:pPr>
      <w:r>
        <w:rPr>
          <w:rFonts w:cs="Calibri Light" w:ascii="Cambria" w:hAnsi="Cambria"/>
          <w:color w:val="000000"/>
          <w:sz w:val="22"/>
          <w:szCs w:val="22"/>
        </w:rPr>
        <w:t>Zadanie nr 2</w:t>
      </w:r>
      <w:r>
        <w:rPr>
          <w:rFonts w:cs="Calibri Light" w:ascii="Cambria" w:hAnsi="Cambria"/>
          <w:b/>
          <w:color w:val="000000"/>
          <w:sz w:val="22"/>
          <w:szCs w:val="22"/>
        </w:rPr>
        <w:t xml:space="preserve"> – </w:t>
      </w:r>
      <w:r>
        <w:rPr>
          <w:rFonts w:cs="Calibri Light" w:ascii="Cambria" w:hAnsi="Cambria"/>
          <w:b/>
          <w:bCs/>
          <w:color w:val="000000"/>
          <w:sz w:val="22"/>
          <w:szCs w:val="22"/>
        </w:rPr>
        <w:t>do 15.12.2026r.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285" w:leader="none"/>
          <w:tab w:val="left" w:pos="855" w:leader="none"/>
        </w:tabs>
        <w:suppressAutoHyphens w:val="true"/>
        <w:bidi w:val="0"/>
        <w:spacing w:lineRule="auto" w:line="240" w:before="0" w:after="0"/>
        <w:ind w:hanging="737" w:left="1077" w:right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Zadanie nr 3</w:t>
      </w:r>
      <w:r>
        <w:rPr>
          <w:rFonts w:ascii="Cambria" w:hAnsi="Cambria"/>
          <w:b/>
          <w:sz w:val="22"/>
          <w:szCs w:val="22"/>
        </w:rPr>
        <w:t xml:space="preserve"> – </w:t>
      </w:r>
      <w:r>
        <w:rPr>
          <w:rFonts w:cs="Calibri Light" w:ascii="Cambria" w:hAnsi="Cambria"/>
          <w:b/>
          <w:bCs/>
          <w:color w:val="000000"/>
          <w:sz w:val="22"/>
          <w:szCs w:val="22"/>
        </w:rPr>
        <w:t>do 15.12.2026r.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285" w:leader="none"/>
          <w:tab w:val="left" w:pos="855" w:leader="none"/>
        </w:tabs>
        <w:suppressAutoHyphens w:val="true"/>
        <w:bidi w:val="0"/>
        <w:spacing w:lineRule="auto" w:line="240" w:before="0" w:after="0"/>
        <w:ind w:hanging="737" w:left="1077" w:right="0"/>
        <w:jc w:val="both"/>
        <w:rPr>
          <w:rFonts w:ascii="Cambria" w:hAnsi="Cambria"/>
          <w:sz w:val="22"/>
          <w:szCs w:val="22"/>
        </w:rPr>
      </w:pPr>
      <w:r>
        <w:rPr>
          <w:rFonts w:cs="Calibri Light" w:ascii="Cambria" w:hAnsi="Cambria"/>
          <w:b w:val="false"/>
          <w:bCs w:val="false"/>
          <w:color w:val="000000"/>
          <w:sz w:val="22"/>
          <w:szCs w:val="22"/>
        </w:rPr>
        <w:t>Zadanie nr 4</w:t>
      </w:r>
      <w:r>
        <w:rPr>
          <w:rFonts w:cs="Calibri Light" w:ascii="Cambria" w:hAnsi="Cambria"/>
          <w:b/>
          <w:bCs/>
          <w:color w:val="000000"/>
          <w:sz w:val="22"/>
          <w:szCs w:val="22"/>
        </w:rPr>
        <w:t xml:space="preserve"> – do 15.12.2026r.</w:t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5</w:t>
      </w:r>
      <w:r>
        <w:rPr>
          <w:rFonts w:eastAsia="Times New Roman" w:cs="Times New Roman" w:ascii="Cambria" w:hAnsi="Cambria"/>
          <w:lang w:eastAsia="pl-PL"/>
        </w:rPr>
        <w:t>. </w:t>
      </w:r>
      <w:r>
        <w:rPr>
          <w:rFonts w:eastAsia="Times New Roman" w:cs="Times New Roman" w:ascii="Cambria" w:hAnsi="Cambria"/>
          <w:b/>
          <w:bCs/>
          <w:lang w:eastAsia="pl-PL"/>
        </w:rPr>
        <w:t>Kryteria i sposób oceny oferty: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lang w:eastAsia="pl-PL"/>
        </w:rPr>
        <w:t>1. Cena   –   waga  100 %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sz w:val="12"/>
          <w:szCs w:val="12"/>
          <w:lang w:eastAsia="pl-PL"/>
        </w:rPr>
      </w:pPr>
      <w:r>
        <w:rPr>
          <w:rFonts w:eastAsia="Times New Roman" w:cs="Times New Roman" w:ascii="Cambria" w:hAnsi="Cambria"/>
          <w:sz w:val="12"/>
          <w:szCs w:val="12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6.</w:t>
      </w:r>
      <w:r>
        <w:rPr>
          <w:rFonts w:eastAsia="Times New Roman" w:cs="Times New Roman" w:ascii="Cambria" w:hAnsi="Cambria"/>
          <w:lang w:eastAsia="pl-PL"/>
        </w:rPr>
        <w:t> </w:t>
      </w:r>
      <w:r>
        <w:rPr>
          <w:rFonts w:eastAsia="Times New Roman" w:cs="Times New Roman" w:ascii="Cambria" w:hAnsi="Cambria"/>
          <w:b/>
          <w:bCs/>
          <w:lang w:eastAsia="pl-PL"/>
        </w:rPr>
        <w:t xml:space="preserve"> Informacja o możliwości udzielenia kolejnego zamówienia, o którym mowa w § 11 Regulaminu.</w:t>
      </w:r>
    </w:p>
    <w:p>
      <w:pPr>
        <w:pStyle w:val="Normal"/>
        <w:spacing w:lineRule="auto" w:line="240" w:before="0" w:after="0"/>
        <w:ind w:hanging="0" w:left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lang w:eastAsia="pl-PL"/>
        </w:rPr>
        <w:t>Nie przewiduje się.</w:t>
      </w:r>
    </w:p>
    <w:p>
      <w:pPr>
        <w:pStyle w:val="Normal"/>
        <w:spacing w:lineRule="auto" w:line="240" w:before="0" w:after="0"/>
        <w:ind w:hanging="0" w:left="0"/>
        <w:jc w:val="both"/>
        <w:rPr>
          <w:rFonts w:ascii="Cambria" w:hAnsi="Cambria" w:eastAsia="Times New Roman" w:cs="Times New Roman"/>
          <w:sz w:val="12"/>
          <w:szCs w:val="12"/>
          <w:lang w:eastAsia="pl-PL"/>
        </w:rPr>
      </w:pPr>
      <w:r>
        <w:rPr>
          <w:rFonts w:eastAsia="Times New Roman" w:cs="Times New Roman" w:ascii="Cambria" w:hAnsi="Cambria"/>
          <w:sz w:val="12"/>
          <w:szCs w:val="12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eastAsia="Times New Roman" w:cs="Times New Roman" w:ascii="Cambria" w:hAnsi="Cambria"/>
          <w:b/>
          <w:lang w:eastAsia="pl-PL"/>
        </w:rPr>
        <w:t>7. </w:t>
      </w:r>
      <w:r>
        <w:rPr>
          <w:rFonts w:eastAsia="Times New Roman" w:cs="Times New Roman" w:ascii="Cambria" w:hAnsi="Cambria"/>
          <w:b/>
          <w:bCs/>
          <w:lang w:eastAsia="pl-PL"/>
        </w:rPr>
        <w:t>Sposób przygotowania oferty:</w:t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cs="Calibri" w:ascii="Cambria" w:hAnsi="Cambria"/>
        </w:rPr>
        <w:t>Oferta, musi być sporządzona w formie pisemnej w języku polskim, z wykorzystaniem formularzy stanowiących załączniki do niniejszego zapytania ofertowego</w:t>
      </w:r>
      <w:r>
        <w:rPr>
          <w:rFonts w:cs="ArialMT" w:ascii="Cambria" w:hAnsi="Cambria"/>
        </w:rPr>
        <w:t xml:space="preserve">. </w:t>
      </w:r>
      <w:r>
        <w:rPr>
          <w:rFonts w:cs="Calibri" w:ascii="Cambria" w:hAnsi="Cambria"/>
        </w:rPr>
        <w:t xml:space="preserve">Ofertę wraz </w:t>
        <w:br/>
        <w:t>z załącznikami składa się zgodnie z wyborem Wykonawcy:</w:t>
      </w:r>
    </w:p>
    <w:p>
      <w:pPr>
        <w:pStyle w:val="ListParagraph"/>
        <w:spacing w:lineRule="auto" w:line="240"/>
        <w:ind w:hanging="720" w:left="1004"/>
        <w:jc w:val="both"/>
        <w:rPr>
          <w:rFonts w:ascii="Cambria" w:hAnsi="Cambria"/>
        </w:rPr>
      </w:pPr>
      <w:r>
        <w:rPr>
          <w:rFonts w:cs="Calibri" w:ascii="Cambria" w:hAnsi="Cambria"/>
          <w:lang w:val="pl-PL"/>
        </w:rPr>
        <w:t xml:space="preserve"> </w:t>
      </w:r>
      <w:r>
        <w:rPr>
          <w:rFonts w:cs="Calibri" w:ascii="Cambria" w:hAnsi="Cambria"/>
          <w:b/>
        </w:rPr>
        <w:t>7.1.</w:t>
      </w:r>
      <w:r>
        <w:rPr>
          <w:rFonts w:cs="Calibri" w:ascii="Cambria" w:hAnsi="Cambria"/>
        </w:rPr>
        <w:t xml:space="preserve"> - w siedzibie Zamawiającego;</w:t>
      </w:r>
    </w:p>
    <w:p>
      <w:pPr>
        <w:pStyle w:val="ListParagraph"/>
        <w:spacing w:lineRule="auto" w:line="240"/>
        <w:ind w:hanging="720" w:left="1004"/>
        <w:jc w:val="both"/>
        <w:rPr>
          <w:rFonts w:ascii="Cambria" w:hAnsi="Cambria"/>
        </w:rPr>
      </w:pPr>
      <w:r>
        <w:rPr>
          <w:rFonts w:cs="Calibri" w:ascii="Cambria" w:hAnsi="Cambria"/>
          <w:lang w:val="pl-PL"/>
        </w:rPr>
        <w:t xml:space="preserve"> </w:t>
      </w:r>
      <w:r>
        <w:rPr>
          <w:rFonts w:cs="Calibri" w:ascii="Cambria" w:hAnsi="Cambria"/>
          <w:b/>
        </w:rPr>
        <w:t>7.2</w:t>
      </w:r>
      <w:r>
        <w:rPr>
          <w:rFonts w:cs="Calibri" w:ascii="Cambria" w:hAnsi="Cambria"/>
        </w:rPr>
        <w:t>. - za pośrednictwem operatora pocztowego;</w:t>
      </w:r>
    </w:p>
    <w:p>
      <w:pPr>
        <w:pStyle w:val="ListParagraph"/>
        <w:spacing w:lineRule="auto" w:line="240" w:before="0" w:after="0"/>
        <w:ind w:hanging="720" w:left="1004"/>
        <w:contextualSpacing/>
        <w:jc w:val="both"/>
        <w:rPr/>
      </w:pPr>
      <w:r>
        <w:rPr>
          <w:rFonts w:cs="Calibri" w:ascii="Cambria" w:hAnsi="Cambria"/>
          <w:lang w:val="pl-PL"/>
        </w:rPr>
        <w:t xml:space="preserve"> </w:t>
      </w:r>
      <w:r>
        <w:rPr>
          <w:rFonts w:cs="Calibri" w:ascii="Cambria" w:hAnsi="Cambria"/>
          <w:b/>
        </w:rPr>
        <w:t>7.3.</w:t>
      </w:r>
      <w:r>
        <w:rPr>
          <w:rFonts w:cs="Calibri" w:ascii="Cambria" w:hAnsi="Cambria"/>
        </w:rPr>
        <w:t xml:space="preserve"> - za pośrednictwem poczty elektronicznej na adres</w:t>
      </w:r>
      <w:r>
        <w:rPr>
          <w:rFonts w:cs="Calibri" w:ascii="Cambria" w:hAnsi="Cambria"/>
          <w:lang w:val="pl-PL"/>
        </w:rPr>
        <w:t xml:space="preserve">:  </w:t>
      </w:r>
      <w:hyperlink r:id="rId3">
        <w:r>
          <w:rPr>
            <w:rStyle w:val="Hyperlink"/>
            <w:rFonts w:cs="Calibri" w:ascii="Cambria" w:hAnsi="Cambria"/>
            <w:lang w:val="pl-PL"/>
          </w:rPr>
          <w:t>starostwo@powiat.busko.pl</w:t>
        </w:r>
      </w:hyperlink>
      <w:r>
        <w:rPr>
          <w:rFonts w:cs="Calibri" w:ascii="Cambria" w:hAnsi="Cambria"/>
          <w:lang w:val="pl-PL"/>
        </w:rPr>
        <w:t xml:space="preserve">       </w:t>
      </w:r>
    </w:p>
    <w:p>
      <w:pPr>
        <w:pStyle w:val="Normal"/>
        <w:spacing w:lineRule="auto" w:line="240"/>
        <w:jc w:val="both"/>
        <w:rPr>
          <w:rFonts w:ascii="Cambria" w:hAnsi="Cambria"/>
        </w:rPr>
      </w:pPr>
      <w:r>
        <w:rPr>
          <w:rFonts w:cs="Calibri" w:ascii="Cambria" w:hAnsi="Cambria"/>
          <w:u w:val="single"/>
        </w:rPr>
        <w:t>W przypadku wyboru przez Wykonawcę sposobu złożenia oferty określonego w pkt  7.1 lub                      w pkt 7.2:</w:t>
      </w:r>
    </w:p>
    <w:p>
      <w:pPr>
        <w:pStyle w:val="Normal"/>
        <w:tabs>
          <w:tab w:val="clear" w:pos="720"/>
          <w:tab w:val="left" w:pos="851" w:leader="none"/>
        </w:tabs>
        <w:spacing w:lineRule="auto" w:line="240" w:before="0" w:after="0"/>
        <w:jc w:val="both"/>
        <w:rPr>
          <w:rFonts w:ascii="Cambria" w:hAnsi="Cambria"/>
        </w:rPr>
      </w:pPr>
      <w:r>
        <w:rPr>
          <w:rFonts w:cs="Calibri" w:ascii="Cambria" w:hAnsi="Cambria"/>
          <w:color w:val="000000"/>
          <w:lang w:eastAsia="ar-SA"/>
        </w:rPr>
        <w:t>- oferta musi być sporządzona w sposób czytelny, trwałą techniką i podpisana przez osobę(y) upoważnioną(e) do reprezentowania Wykonawcy;</w:t>
      </w:r>
    </w:p>
    <w:p>
      <w:pPr>
        <w:pStyle w:val="Normal"/>
        <w:tabs>
          <w:tab w:val="clear" w:pos="720"/>
          <w:tab w:val="left" w:pos="851" w:leader="none"/>
        </w:tabs>
        <w:spacing w:lineRule="auto" w:line="240"/>
        <w:jc w:val="both"/>
        <w:rPr>
          <w:rFonts w:ascii="Cambria" w:hAnsi="Cambria"/>
        </w:rPr>
      </w:pPr>
      <w:r>
        <w:rPr>
          <w:rFonts w:cs="Calibri" w:ascii="Cambria" w:hAnsi="Cambria"/>
        </w:rPr>
        <w:t xml:space="preserve">- ofertę należy złożyć w nieprzejrzystej, zamkniętej kopercie/opakowaniu, w sposób gwarantujący zachowanie poufności jej treści oraz zabezpieczający jej nienaruszalność do terminu otwarcia ofert. </w:t>
      </w:r>
      <w:r>
        <w:rPr>
          <w:rFonts w:cs="Calibri" w:ascii="Cambria" w:hAnsi="Cambria"/>
          <w:u w:val="single"/>
        </w:rPr>
        <w:t>Koperta/opakowanie zawierające ofertę powinno być zaadresowane do Zamawiającego na adres:</w:t>
      </w:r>
      <w:r>
        <w:rPr>
          <w:rFonts w:cs="Calibri" w:ascii="Cambria" w:hAnsi="Cambria"/>
        </w:rPr>
        <w:t xml:space="preserve"> </w:t>
      </w:r>
      <w:r>
        <w:rPr>
          <w:rFonts w:cs="Calibri" w:ascii="Cambria" w:hAnsi="Cambria"/>
          <w:b/>
          <w:bCs/>
          <w:i/>
          <w:iCs/>
        </w:rPr>
        <w:t>Starostwo Powiatowe w Busku-Zdroju al. Mickiewicza 15, 28-100 Busko-Zdrój</w:t>
      </w:r>
      <w:r>
        <w:rPr>
          <w:rFonts w:cs="Calibri" w:ascii="Cambria" w:hAnsi="Cambria"/>
        </w:rPr>
        <w:t xml:space="preserve"> </w:t>
      </w:r>
      <w:r>
        <w:rPr>
          <w:rFonts w:cs="Calibri" w:ascii="Cambria" w:hAnsi="Cambria"/>
          <w:i/>
          <w:iCs/>
        </w:rPr>
        <w:t>oraz opatrzone nazwą Wykonawcy, dokładnym adresem Wykonawcy oraz oznaczone w sposób następujący:</w:t>
      </w:r>
    </w:p>
    <w:p>
      <w:pPr>
        <w:pStyle w:val="ListParagraph"/>
        <w:spacing w:lineRule="auto" w:line="240" w:before="0" w:after="0"/>
        <w:ind w:left="284"/>
        <w:contextualSpacing/>
        <w:jc w:val="center"/>
        <w:rPr>
          <w:rFonts w:ascii="Cambria" w:hAnsi="Cambria"/>
        </w:rPr>
      </w:pPr>
      <w:r>
        <w:rPr>
          <w:rFonts w:cs="Calibri" w:ascii="Cambria" w:hAnsi="Cambria"/>
          <w:b/>
        </w:rPr>
        <w:t>,,Oferta na prace geodezyjne - Drogi</w:t>
      </w:r>
      <w:r>
        <w:rPr>
          <w:rFonts w:cs="Calibri" w:ascii="Cambria" w:hAnsi="Cambria"/>
          <w:b/>
          <w:lang w:val="pl-PL"/>
        </w:rPr>
        <w:t>”</w:t>
      </w:r>
      <w:r>
        <w:rPr>
          <w:rFonts w:cs="Calibri" w:ascii="Cambria" w:hAnsi="Cambria"/>
          <w:b/>
          <w:color w:val="000000"/>
        </w:rPr>
        <w:t xml:space="preserve">                       </w:t>
      </w:r>
    </w:p>
    <w:p>
      <w:pPr>
        <w:pStyle w:val="Normal"/>
        <w:spacing w:lineRule="auto" w:line="240" w:before="0" w:after="0"/>
        <w:ind w:left="851"/>
        <w:rPr>
          <w:rFonts w:ascii="Cambria" w:hAnsi="Cambria" w:cs="Calibri"/>
          <w:color w:val="000000"/>
          <w:sz w:val="20"/>
          <w:szCs w:val="20"/>
        </w:rPr>
      </w:pPr>
      <w:r>
        <w:rPr>
          <w:rFonts w:cs="Calibri" w:ascii="Cambria" w:hAnsi="Cambri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851"/>
        <w:rPr>
          <w:rFonts w:ascii="Cambria" w:hAnsi="Cambria"/>
        </w:rPr>
      </w:pPr>
      <w:r>
        <w:rPr>
          <w:rFonts w:cs="Calibri" w:ascii="Cambria" w:hAnsi="Cambria"/>
          <w:b/>
          <w:color w:val="000000"/>
        </w:rPr>
        <w:t xml:space="preserve">                               </w:t>
      </w:r>
      <w:r>
        <w:rPr>
          <w:rFonts w:cs="Calibri" w:ascii="Cambria" w:hAnsi="Cambria"/>
          <w:b/>
          <w:color w:val="000000"/>
        </w:rPr>
        <w:t>nie otwierać przed dniem 02.10</w:t>
      </w:r>
      <w:r>
        <w:rPr>
          <w:rFonts w:cs="Calibri" w:ascii="Cambria" w:hAnsi="Cambria"/>
          <w:b/>
          <w:color w:val="000000"/>
        </w:rPr>
        <w:t>.2026r.</w:t>
      </w:r>
      <w:r>
        <w:rPr>
          <w:rFonts w:cs="Calibri" w:ascii="Cambria" w:hAnsi="Cambria"/>
          <w:b/>
          <w:color w:val="000000"/>
        </w:rPr>
        <w:t xml:space="preserve"> godz. 15:00</w:t>
      </w:r>
    </w:p>
    <w:p>
      <w:pPr>
        <w:pStyle w:val="Normal"/>
        <w:spacing w:lineRule="auto" w:line="276" w:before="240" w:after="0"/>
        <w:jc w:val="both"/>
        <w:rPr>
          <w:rFonts w:ascii="Cambria" w:hAnsi="Cambria"/>
        </w:rPr>
      </w:pPr>
      <w:r>
        <w:rPr>
          <w:rFonts w:cs="Calibri" w:ascii="Cambria" w:hAnsi="Cambria"/>
          <w:u w:val="single"/>
        </w:rPr>
        <w:t>W przypadku wyboru przez Wykonawcę sposobu złożenia oferty określonego w pkt 7.3:</w:t>
      </w:r>
    </w:p>
    <w:p>
      <w:pPr>
        <w:pStyle w:val="Normal"/>
        <w:spacing w:lineRule="auto" w:line="276" w:before="0" w:after="0"/>
        <w:jc w:val="both"/>
        <w:rPr>
          <w:rFonts w:ascii="Cambria" w:hAnsi="Cambria"/>
        </w:rPr>
      </w:pPr>
      <w:r>
        <w:rPr>
          <w:rFonts w:cs="Calibri" w:ascii="Cambria" w:hAnsi="Cambria"/>
        </w:rPr>
        <w:t xml:space="preserve">- ofertę wraz z załącznikami składa się </w:t>
      </w:r>
      <w:r>
        <w:rPr>
          <w:rFonts w:cs="Arial" w:ascii="Cambria" w:hAnsi="Cambria"/>
        </w:rPr>
        <w:t>w postaci zaszyfrowanej przy użyciu darmowego oprogramowania do archiwizacji 7- zip wraz z instrukcją dotyczącą przekazania hasła w celu otwarcia oferty,</w:t>
      </w:r>
    </w:p>
    <w:p>
      <w:pPr>
        <w:pStyle w:val="Normal"/>
        <w:spacing w:lineRule="auto" w:line="276" w:before="0" w:after="0"/>
        <w:jc w:val="both"/>
        <w:rPr>
          <w:rFonts w:ascii="Cambria" w:hAnsi="Cambria"/>
        </w:rPr>
      </w:pPr>
      <w:r>
        <w:rPr>
          <w:rFonts w:cs="Arial" w:ascii="Cambria" w:hAnsi="Cambria"/>
        </w:rPr>
        <w:t xml:space="preserve">- </w:t>
      </w:r>
      <w:r>
        <w:rPr>
          <w:rFonts w:cs="Calibri" w:ascii="Cambria" w:hAnsi="Cambria"/>
        </w:rPr>
        <w:t>ofertę wraz z załącznikami składa się:</w:t>
      </w:r>
    </w:p>
    <w:p>
      <w:pPr>
        <w:pStyle w:val="ListParagraph"/>
        <w:numPr>
          <w:ilvl w:val="1"/>
          <w:numId w:val="11"/>
        </w:numPr>
        <w:suppressAutoHyphens w:val="true"/>
        <w:spacing w:before="0" w:after="0"/>
        <w:ind w:hanging="283" w:left="709"/>
        <w:contextualSpacing/>
        <w:jc w:val="both"/>
        <w:rPr>
          <w:rFonts w:ascii="Cambria" w:hAnsi="Cambria"/>
        </w:rPr>
      </w:pPr>
      <w:r>
        <w:rPr>
          <w:rFonts w:cs="Calibri" w:ascii="Cambria" w:hAnsi="Cambria"/>
        </w:rPr>
        <w:t>w formie elektronicznej opatrzonej kwalifikowanym podpisem elektronicznym lub</w:t>
      </w:r>
    </w:p>
    <w:p>
      <w:pPr>
        <w:pStyle w:val="ListParagraph"/>
        <w:numPr>
          <w:ilvl w:val="1"/>
          <w:numId w:val="12"/>
        </w:numPr>
        <w:suppressAutoHyphens w:val="true"/>
        <w:spacing w:before="0" w:after="0"/>
        <w:ind w:hanging="283" w:left="709"/>
        <w:contextualSpacing/>
        <w:jc w:val="both"/>
        <w:rPr>
          <w:rFonts w:ascii="Cambria" w:hAnsi="Cambria"/>
        </w:rPr>
      </w:pPr>
      <w:r>
        <w:rPr>
          <w:rFonts w:cs="Calibri" w:ascii="Cambria" w:hAnsi="Cambria"/>
        </w:rPr>
        <w:t>w postaci elektronicznej opatrzonej podpisem zaufanym lub podpisem osobistym.</w:t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cs="Calibri" w:ascii="Cambria" w:hAnsi="Cambria"/>
        </w:rPr>
        <w:t>Zamawiający nie ponosi odpowiedzialności za zdarzenia wynikające z nienależytego oznakowania koperty/opakowania lub braku którejkolwiek z wymaganych informacji a także za brak zaszyfrowania oferty. Liczy się data i godzina wpływu oferty do Zamawiającego.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Cambria" w:hAnsi="Cambria"/>
          <w:b/>
          <w:lang w:eastAsia="pl-PL"/>
        </w:rPr>
        <w:t>8.</w:t>
      </w:r>
      <w:r>
        <w:rPr>
          <w:rFonts w:eastAsia="Times New Roman" w:cs="Times New Roman" w:ascii="Cambria" w:hAnsi="Cambria"/>
          <w:lang w:eastAsia="pl-PL"/>
        </w:rPr>
        <w:t> </w:t>
      </w:r>
      <w:r>
        <w:rPr>
          <w:rFonts w:eastAsia="Times New Roman" w:cs="Times New Roman" w:ascii="Cambria" w:hAnsi="Cambria"/>
          <w:b/>
          <w:bCs/>
          <w:lang w:eastAsia="pl-PL"/>
        </w:rPr>
        <w:t>Termin złożenia ofert.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Cambria" w:hAnsi="Cambria"/>
          <w:lang w:eastAsia="pl-PL"/>
        </w:rPr>
        <w:t xml:space="preserve">Oferty należy składać do dnia: </w:t>
      </w:r>
      <w:r>
        <w:rPr>
          <w:rFonts w:eastAsia="Times New Roman" w:cs="Times New Roman" w:ascii="Cambria" w:hAnsi="Cambria"/>
          <w:b/>
          <w:bCs/>
          <w:color w:val="000000"/>
          <w:lang w:eastAsia="pl-PL"/>
        </w:rPr>
        <w:t>02.10.2026r.</w:t>
      </w:r>
      <w:r>
        <w:rPr>
          <w:rFonts w:eastAsia="Times New Roman" w:cs="Times New Roman" w:ascii="Cambria" w:hAnsi="Cambria"/>
          <w:color w:val="000000"/>
          <w:lang w:eastAsia="pl-PL"/>
        </w:rPr>
        <w:t xml:space="preserve">, </w:t>
      </w:r>
      <w:r>
        <w:rPr>
          <w:rFonts w:eastAsia="Times New Roman" w:cs="Times New Roman" w:ascii="Cambria" w:hAnsi="Cambria"/>
          <w:b/>
          <w:bCs/>
          <w:color w:val="000000"/>
          <w:lang w:eastAsia="pl-PL"/>
        </w:rPr>
        <w:t>godz. 15:00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>Oferta złożona po terminie zostanie zwrócona niezwłocznie bez otwierania.</w:t>
      </w:r>
    </w:p>
    <w:p>
      <w:pPr>
        <w:pStyle w:val="akapit"/>
        <w:bidi w:val="0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 xml:space="preserve">Oferta Wykonawcy zostanie odrzucona z postępowania, jeżeli Wykonawca nie złożył wymaganych dokumentów. </w:t>
      </w:r>
    </w:p>
    <w:p>
      <w:pPr>
        <w:pStyle w:val="akapit"/>
        <w:bidi w:val="0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>Niezłożenie aktualnego odpisu z właściwego rejestru lub wydruk ze strony internetowej Centralnej Ewidencji i Informacji o Działalności Gospodarczej nie spowoduje odrzucenia oferty Wykonawcy.  Zamawiający może sam dokonać wydruku ze strony internetowej CEiDG.</w:t>
      </w:r>
    </w:p>
    <w:p>
      <w:pPr>
        <w:pStyle w:val="akapit"/>
        <w:bidi w:val="0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 xml:space="preserve">Zamawiający udzieli zamówienia Wykonawcy, którego oferta odpowiada wszystkim wymaganiom określonym w niniejszym zapytaniu i zawiera najniższą cenę. </w:t>
      </w:r>
    </w:p>
    <w:p>
      <w:pPr>
        <w:pStyle w:val="Normal"/>
        <w:widowControl w:val="false"/>
        <w:bidi w:val="0"/>
        <w:spacing w:lineRule="auto" w:line="240" w:before="0" w:after="0"/>
        <w:ind w:hanging="0" w:left="0" w:right="0"/>
        <w:jc w:val="both"/>
        <w:rPr/>
      </w:pPr>
      <w:r>
        <w:rPr>
          <w:rFonts w:cs="Calibri Light" w:ascii="Cambria" w:hAnsi="Cambria"/>
          <w:sz w:val="22"/>
          <w:szCs w:val="22"/>
        </w:rPr>
        <w:t xml:space="preserve">Zamawiający zastrzega sobie prawo do unieważnienia postępowania w sprawie wyboru wykonawcy, do odstąpienia od podpisania umowy bez podania przyczyn oraz do rozstrzygnięcia w przypadku wpływu tylko jednej oferty. </w:t>
      </w:r>
    </w:p>
    <w:p>
      <w:pPr>
        <w:pStyle w:val="akapit"/>
        <w:bidi w:val="0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>W przypadku, gdy osoba wyłoniona jako wykonawca nie stawi się do zawarcia umowy lub stawiając się odmówi jej podpisania, umowa może zostać zawarta z kolejnym oferentem, który zaproponował najniższą cenę za wykonanie usługi, bądź zaproszenie do składania ofert zostanie ponownie ogłoszone według wyboru Zamawiającego.</w:t>
      </w:r>
    </w:p>
    <w:p>
      <w:pPr>
        <w:pStyle w:val="akapit"/>
        <w:bidi w:val="0"/>
        <w:spacing w:lineRule="auto" w:line="240" w:before="0" w:after="0"/>
        <w:jc w:val="both"/>
        <w:rPr/>
      </w:pPr>
      <w:r>
        <w:rPr>
          <w:rFonts w:cs="Calibri Light" w:ascii="Cambria" w:hAnsi="Cambria"/>
          <w:sz w:val="22"/>
          <w:szCs w:val="22"/>
        </w:rPr>
        <w:t>Termin zawarcia umowy zostanie określony w informacji o wynikach postępowania.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Cambria" w:hAnsi="Cambria"/>
          <w:b/>
          <w:lang w:eastAsia="pl-PL"/>
        </w:rPr>
        <w:t>9. Miejsce i termin otwarcia ofert:</w:t>
      </w:r>
    </w:p>
    <w:p>
      <w:pPr>
        <w:pStyle w:val="Teksttreci1"/>
        <w:tabs>
          <w:tab w:val="clear" w:pos="720"/>
          <w:tab w:val="left" w:pos="4242" w:leader="dot"/>
          <w:tab w:val="left" w:pos="6522" w:leader="dot"/>
        </w:tabs>
        <w:spacing w:lineRule="auto" w:line="240"/>
        <w:jc w:val="both"/>
        <w:rPr/>
      </w:pPr>
      <w:r>
        <w:rPr>
          <w:rStyle w:val="Teksttreci"/>
          <w:rFonts w:cs="Arial" w:ascii="Cambria" w:hAnsi="Cambria"/>
        </w:rPr>
        <w:t xml:space="preserve">Otwarcie złożonych ofert nastąpi w dniu </w:t>
      </w:r>
      <w:r>
        <w:rPr>
          <w:rStyle w:val="Teksttreci"/>
          <w:rFonts w:cs="Arial" w:ascii="Cambria" w:hAnsi="Cambria"/>
          <w:b/>
          <w:bCs/>
          <w:color w:val="000000"/>
        </w:rPr>
        <w:t>05.10.2026r.,</w:t>
      </w:r>
      <w:r>
        <w:rPr>
          <w:rStyle w:val="Teksttreci"/>
          <w:rFonts w:cs="Arial" w:ascii="Cambria" w:hAnsi="Cambria"/>
          <w:b/>
          <w:bCs/>
          <w:color w:val="FF0000"/>
        </w:rPr>
        <w:t xml:space="preserve"> </w:t>
      </w:r>
      <w:r>
        <w:rPr>
          <w:rStyle w:val="Teksttreci"/>
          <w:rFonts w:cs="Arial" w:ascii="Cambria" w:hAnsi="Cambria"/>
          <w:b/>
          <w:bCs/>
          <w:color w:val="000000"/>
        </w:rPr>
        <w:t>o godz. 14:00</w:t>
      </w:r>
      <w:r>
        <w:rPr>
          <w:rStyle w:val="Teksttreci"/>
          <w:rFonts w:cs="Arial" w:ascii="Cambria" w:hAnsi="Cambria"/>
        </w:rPr>
        <w:t xml:space="preserve"> w siedzibie Zamawiającego.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Cambria" w:hAnsi="Cambria"/>
          <w:b/>
          <w:lang w:eastAsia="pl-PL"/>
        </w:rPr>
        <w:t>10.</w:t>
      </w:r>
      <w:r>
        <w:rPr>
          <w:rFonts w:eastAsia="Times New Roman" w:cs="Times New Roman" w:ascii="Cambria" w:hAnsi="Cambria"/>
          <w:lang w:eastAsia="pl-PL"/>
        </w:rPr>
        <w:t xml:space="preserve">  </w:t>
      </w:r>
      <w:r>
        <w:rPr>
          <w:rFonts w:eastAsia="Times New Roman" w:cs="Times New Roman" w:ascii="Cambria" w:hAnsi="Cambria"/>
          <w:b/>
          <w:bCs/>
          <w:lang w:eastAsia="pl-PL"/>
        </w:rPr>
        <w:t>Osoba do kontaktu w przedmiotowej sprawie.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Cambria" w:hAnsi="Cambria"/>
          <w:lang w:eastAsia="pl-PL"/>
        </w:rPr>
        <w:t xml:space="preserve">Imię i nazwisko: Ewelina Stojek, tel.: (41) 370 50 53, e-mail: </w:t>
      </w:r>
      <w:hyperlink r:id="rId4">
        <w:r>
          <w:rPr>
            <w:rStyle w:val="Hyperlink"/>
            <w:rFonts w:eastAsia="Times New Roman" w:cs="Times New Roman" w:ascii="Cambria" w:hAnsi="Cambria"/>
            <w:lang w:eastAsia="pl-PL"/>
          </w:rPr>
          <w:t>ewelina.stojek@powiat.busko.pl</w:t>
        </w:r>
      </w:hyperlink>
      <w:r>
        <w:rPr>
          <w:rFonts w:eastAsia="Times New Roman" w:cs="Times New Roman" w:ascii="Cambria" w:hAnsi="Cambria"/>
          <w:lang w:eastAsia="pl-PL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tbl>
      <w:tblPr>
        <w:tblStyle w:val="Tabela-Siatka"/>
        <w:tblW w:w="100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80"/>
      </w:tblGrid>
      <w:tr>
        <w:trPr>
          <w:trHeight w:val="733" w:hRule="atLeast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sz w:val="22"/>
                <w:lang w:eastAsia="pl-PL"/>
              </w:rPr>
              <w:t xml:space="preserve">                                                                </w:t>
            </w:r>
            <w:r>
              <w:rPr>
                <w:rFonts w:eastAsia="Times New Roman" w:cs="Times New Roman" w:ascii="Cambria" w:hAnsi="Cambria"/>
                <w:sz w:val="22"/>
                <w:lang w:eastAsia="pl-PL"/>
              </w:rPr>
              <w:t>....................................................................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Cambria" w:hAnsi="Cambria"/>
              </w:rPr>
            </w:pPr>
            <w:r>
              <w:rPr>
                <w:sz w:val="22"/>
              </w:rPr>
              <w:t xml:space="preserve">                                                                    </w:t>
            </w:r>
            <w:r>
              <w:rPr>
                <w:sz w:val="22"/>
              </w:rPr>
              <w:t>(podpis Starosty)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bCs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2"/>
                <w:szCs w:val="22"/>
                <w:lang w:val="pl-PL" w:eastAsia="pl-PL" w:bidi="ar-SA"/>
              </w:rPr>
              <w:t>Załączniki:</w:t>
            </w:r>
          </w:p>
        </w:tc>
      </w:tr>
      <w:tr>
        <w:trPr/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2"/>
                <w:szCs w:val="22"/>
                <w:lang w:eastAsia="pl-PL"/>
              </w:rPr>
            </w:pPr>
            <w:r>
              <w:rPr>
                <w:rFonts w:eastAsia="Times New Roman" w:cs="Times New Roman" w:ascii="Cambria" w:hAnsi="Cambria"/>
                <w:sz w:val="22"/>
                <w:szCs w:val="22"/>
                <w:lang w:eastAsia="pl-PL"/>
              </w:rPr>
            </w:r>
          </w:p>
        </w:tc>
      </w:tr>
      <w:tr>
        <w:trPr>
          <w:trHeight w:val="3018" w:hRule="atLeast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 Załącznik nr 1 – Brzostków droga 1083T,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2 – Tuczępy droga 1014T,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3 – Góra, Nieciesławice droga 1014T,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4 – Nieciesławice droga 1014T,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5 – Jarosławice droga 1014T,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>- Załącznik nr 6 – Busko-Zdrój dz. 199/1,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>- Załącznik nr 7 – Piasek Mały droga 1056T,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>- Załącznik nr 8 – Żuków droga 1056T,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9 – Klauzula informacyjna (RODO),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10 – Wzór oferty,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11 – Oświadczenie o posiadaniu uprawnień zawodowych,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- Załącznik nr 12 – Istotne postanowienia umowy.</w:t>
            </w:r>
          </w:p>
        </w:tc>
      </w:tr>
      <w:tr>
        <w:trPr>
          <w:trHeight w:val="201" w:hRule="atLeast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</w:tbl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40" w:before="0" w:after="0"/>
        <w:ind w:hanging="0" w:left="0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0" w:top="1012" w:footer="834" w:bottom="113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Arial Narrow">
    <w:charset w:val="ee"/>
    <w:family w:val="swiss"/>
    <w:pitch w:val="variable"/>
  </w:font>
  <w:font w:name="Segoe UI">
    <w:charset w:val="ee"/>
    <w:family w:val="swiss"/>
    <w:pitch w:val="variable"/>
  </w:font>
  <w:font w:name="TimesNewRoman">
    <w:charset w:val="ee"/>
    <w:family w:val="roman"/>
    <w:pitch w:val="variable"/>
  </w:font>
  <w:font w:name="Times-Roman">
    <w:altName w:val="Times New Roman"/>
    <w:charset w:val="ee"/>
    <w:family w:val="roman"/>
    <w:pitch w:val="variable"/>
  </w:font>
  <w:font w:name="Times-Bold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MT Extra">
    <w:charset w:val="0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0"/>
        <w:szCs w:val="20"/>
      </w:rPr>
    </w:pPr>
    <w:bookmarkStart w:id="0" w:name="PageNumWizard_FOOTER_Domyślny_styl_stron"/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16</w:t>
    </w:r>
    <w:r>
      <w:rPr>
        <w:sz w:val="20"/>
        <w:szCs w:val="20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0"/>
        <w:szCs w:val="20"/>
      </w:rPr>
    </w:pPr>
    <w:bookmarkStart w:id="1" w:name="PageNumWizard_FOOTER_Domyślny_styl_stron"/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16</w:t>
    </w:r>
    <w:r>
      <w:rPr>
        <w:sz w:val="20"/>
        <w:szCs w:val="20"/>
      </w:rPr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/>
        <w:iCs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 w:hint="default"/>
      </w:rPr>
    </w:lvl>
    <w:lvl w:ilvl="1">
      <w:start w:val="1"/>
      <w:numFmt w:val="bullet"/>
      <w:lvlText w:val=""/>
      <w:lvlJc w:val="left"/>
      <w:pPr>
        <w:tabs>
          <w:tab w:val="num" w:pos="1425"/>
        </w:tabs>
        <w:ind w:left="1425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"/>
      <w:lvlJc w:val="left"/>
      <w:pPr>
        <w:tabs>
          <w:tab w:val="num" w:pos="1785"/>
        </w:tabs>
        <w:ind w:left="1785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"/>
      <w:lvlJc w:val="left"/>
      <w:pPr>
        <w:tabs>
          <w:tab w:val="num" w:pos="2145"/>
        </w:tabs>
        <w:ind w:left="2145" w:hanging="360"/>
      </w:pPr>
      <w:rPr>
        <w:rFonts w:ascii="MT Extra" w:hAnsi="MT Extra" w:cs="MT Extra" w:hint="default"/>
      </w:rPr>
    </w:lvl>
    <w:lvl w:ilvl="4">
      <w:start w:val="1"/>
      <w:numFmt w:val="bullet"/>
      <w:lvlText w:val="►"/>
      <w:lvlJc w:val="left"/>
      <w:pPr>
        <w:tabs>
          <w:tab w:val="num" w:pos="2505"/>
        </w:tabs>
        <w:ind w:left="25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"/>
      <w:lvlJc w:val="left"/>
      <w:pPr>
        <w:tabs>
          <w:tab w:val="num" w:pos="2865"/>
        </w:tabs>
        <w:ind w:left="2865" w:hanging="360"/>
      </w:pPr>
      <w:rPr>
        <w:rFonts w:ascii="Symbol" w:hAnsi="Symbol" w:cs="Symbol" w:hint="default"/>
      </w:rPr>
    </w:lvl>
    <w:lvl w:ilvl="6">
      <w:start w:val="1"/>
      <w:numFmt w:val="bullet"/>
      <w:lvlText w:val="-"/>
      <w:lvlJc w:val="left"/>
      <w:pPr>
        <w:tabs>
          <w:tab w:val="num" w:pos="3225"/>
        </w:tabs>
        <w:ind w:left="3225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"/>
      <w:lvlJc w:val="left"/>
      <w:pPr>
        <w:tabs>
          <w:tab w:val="num" w:pos="1074"/>
        </w:tabs>
        <w:ind w:left="1074" w:hanging="360"/>
      </w:pPr>
      <w:rPr>
        <w:rFonts w:ascii="Wingdings" w:hAnsi="Wingdings" w:cs="Wingdings" w:hint="default"/>
        <w:sz w:val="28"/>
        <w:szCs w:val="28"/>
      </w:rPr>
    </w:lvl>
    <w:lvl w:ilvl="2">
      <w:start w:val="1"/>
      <w:numFmt w:val="bullet"/>
      <w:lvlText w:val=""/>
      <w:lvlJc w:val="left"/>
      <w:pPr>
        <w:tabs>
          <w:tab w:val="num" w:pos="1434"/>
        </w:tabs>
        <w:ind w:left="1434" w:hanging="360"/>
      </w:pPr>
      <w:rPr>
        <w:rFonts w:ascii="Wingdings 2" w:hAnsi="Wingdings 2" w:cs="Wingdings 2" w:hint="default"/>
        <w:sz w:val="28"/>
        <w:szCs w:val="28"/>
      </w:rPr>
    </w:lvl>
    <w:lvl w:ilvl="3">
      <w:start w:val="1"/>
      <w:numFmt w:val="bullet"/>
      <w:lvlText w:val=""/>
      <w:lvlJc w:val="left"/>
      <w:pPr>
        <w:tabs>
          <w:tab w:val="num" w:pos="1794"/>
        </w:tabs>
        <w:ind w:left="1794" w:hanging="360"/>
      </w:pPr>
      <w:rPr>
        <w:rFonts w:ascii="MT Extra" w:hAnsi="MT Extra" w:cs="MT Extra" w:hint="default"/>
        <w:sz w:val="28"/>
        <w:szCs w:val="28"/>
      </w:rPr>
    </w:lvl>
    <w:lvl w:ilvl="4">
      <w:start w:val="1"/>
      <w:numFmt w:val="bullet"/>
      <w:lvlText w:val="►"/>
      <w:lvlJc w:val="left"/>
      <w:pPr>
        <w:tabs>
          <w:tab w:val="num" w:pos="2154"/>
        </w:tabs>
        <w:ind w:left="2154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"/>
      <w:lvlJc w:val="left"/>
      <w:pPr>
        <w:tabs>
          <w:tab w:val="num" w:pos="2514"/>
        </w:tabs>
        <w:ind w:left="2514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-"/>
      <w:lvlJc w:val="left"/>
      <w:pPr>
        <w:tabs>
          <w:tab w:val="num" w:pos="2874"/>
        </w:tabs>
        <w:ind w:left="2874" w:hanging="360"/>
      </w:pPr>
      <w:rPr>
        <w:rFonts w:ascii="OpenSymbol" w:hAnsi="OpenSymbol" w:cs="Open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34"/>
        </w:tabs>
        <w:ind w:left="3234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cs="Symbol" w:hint="default"/>
        <w:sz w:val="28"/>
        <w:szCs w:val="28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8"/>
        <w:szCs w:val="28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8"/>
        <w:szCs w:val="28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  <w:sz w:val="28"/>
        <w:szCs w:val="28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8"/>
        <w:szCs w:val="28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8"/>
        <w:szCs w:val="28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  <w:sz w:val="28"/>
        <w:szCs w:val="28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  <w:color w:val="00000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8"/>
        <w:szCs w:val="28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8"/>
        <w:szCs w:val="28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  <w:sz w:val="28"/>
        <w:szCs w:val="28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14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082" w:hanging="1800"/>
      </w:pPr>
      <w:rPr>
        <w:rFonts w:cs="Arial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14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082" w:hanging="1800"/>
      </w:pPr>
      <w:rPr>
        <w:rFonts w:cs="Arial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</w:num>
  <w:num w:numId="12">
    <w:abstractNumId w:val="8"/>
  </w:num>
</w:numbering>
</file>

<file path=word/settings.xml><?xml version="1.0" encoding="utf-8"?>
<w:settings xmlns:w="http://schemas.openxmlformats.org/wordprocessingml/2006/main">
  <w:zoom w:percent="86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23bd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1"/>
      </w:numPr>
      <w:spacing w:lineRule="atLeast" w:line="22" w:before="600" w:after="120"/>
      <w:jc w:val="both"/>
      <w:outlineLvl w:val="1"/>
    </w:pPr>
    <w:rPr>
      <w:rFonts w:ascii="Calibri Light" w:hAnsi="Calibri Light" w:eastAsia="Times New Roman" w:cs=""/>
      <w:b/>
      <w:smallCaps/>
      <w:color w:themeColor="dark1" w:val="000000"/>
      <w:sz w:val="26"/>
      <w:szCs w:val="26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632c29"/>
    <w:rPr/>
  </w:style>
  <w:style w:type="character" w:styleId="AkapitzlistZnak" w:customStyle="1">
    <w:name w:val="Akapit z listą Znak"/>
    <w:link w:val="ListParagraph"/>
    <w:uiPriority w:val="34"/>
    <w:qFormat/>
    <w:locked/>
    <w:rsid w:val="005164d6"/>
    <w:rPr>
      <w:rFonts w:ascii="Calibri" w:hAnsi="Calibri" w:eastAsia="Calibri" w:cs="Times New Roman"/>
      <w:lang w:val="x-none"/>
    </w:rPr>
  </w:style>
  <w:style w:type="character" w:styleId="Teksttreci" w:customStyle="1">
    <w:name w:val="Tekst treści_"/>
    <w:link w:val="Teksttreci1"/>
    <w:qFormat/>
    <w:rsid w:val="005112a3"/>
    <w:rPr>
      <w:rFonts w:ascii="Arial Narrow" w:hAnsi="Arial Narrow" w:eastAsia="Arial Narrow" w:cs="Arial Narrow"/>
    </w:rPr>
  </w:style>
  <w:style w:type="character" w:styleId="Hyperlink">
    <w:name w:val="Hyperlink"/>
    <w:basedOn w:val="DefaultParagraphFont"/>
    <w:uiPriority w:val="99"/>
    <w:unhideWhenUsed/>
    <w:rsid w:val="00fe1523"/>
    <w:rPr>
      <w:color w:val="0000FF"/>
      <w:u w:val="single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st">
    <w:name w:val="st"/>
    <w:basedOn w:val="DefaultParagraphFont"/>
    <w:qFormat/>
    <w:rPr/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TekstdymkaZnak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agwek1Znak">
    <w:name w:val="Nagłówek 1 Znak"/>
    <w:basedOn w:val="DefaultParagraphFont"/>
    <w:qFormat/>
    <w:rPr>
      <w:rFonts w:ascii="Calibri Light" w:hAnsi="Calibri Light" w:eastAsia="Calibri" w:cs=""/>
      <w:color w:themeColor="accent1" w:themeShade="bf" w:val="2E74B5"/>
      <w:sz w:val="32"/>
      <w:szCs w:val="32"/>
    </w:rPr>
  </w:style>
  <w:style w:type="character" w:styleId="Nagwek2Znak">
    <w:name w:val="Nagłówek 2 Znak"/>
    <w:basedOn w:val="DefaultParagraphFont"/>
    <w:qFormat/>
    <w:rPr>
      <w:rFonts w:ascii="Calibri Light" w:hAnsi="Calibri Light" w:eastAsia="Times New Roman" w:cs=""/>
      <w:b/>
      <w:smallCaps/>
      <w:color w:themeColor="dark1" w:val="000000"/>
      <w:sz w:val="26"/>
      <w:szCs w:val="26"/>
      <w:lang w:eastAsia="pl-PL"/>
    </w:rPr>
  </w:style>
  <w:style w:type="character" w:styleId="fontstyle41">
    <w:name w:val="fontstyle41"/>
    <w:basedOn w:val="DefaultParagraphFont"/>
    <w:qFormat/>
    <w:rPr>
      <w:rFonts w:ascii="Calibri" w:hAnsi="Calibri" w:cs="Calibri"/>
      <w:b w:val="false"/>
      <w:bCs w:val="false"/>
      <w:i w:val="false"/>
      <w:iCs w:val="false"/>
      <w:color w:val="000000"/>
      <w:sz w:val="18"/>
      <w:szCs w:val="18"/>
    </w:rPr>
  </w:style>
  <w:style w:type="character" w:styleId="StopkaZnak">
    <w:name w:val="Stopka Znak"/>
    <w:basedOn w:val="DefaultParagraphFont"/>
    <w:qFormat/>
    <w:rPr/>
  </w:style>
  <w:style w:type="character" w:styleId="NagwekZnak">
    <w:name w:val="Nagłówek Znak"/>
    <w:basedOn w:val="DefaultParagraphFont"/>
    <w:qFormat/>
    <w:rPr/>
  </w:style>
  <w:style w:type="character" w:styleId="fontstyle31">
    <w:name w:val="fontstyle31"/>
    <w:basedOn w:val="DefaultParagraphFont"/>
    <w:qFormat/>
    <w:rPr>
      <w:rFonts w:ascii="TimesNewRoman" w:hAnsi="TimesNewRoman"/>
      <w:b w:val="false"/>
      <w:bCs w:val="false"/>
      <w:i w:val="false"/>
      <w:iCs w:val="false"/>
      <w:color w:val="000000"/>
      <w:sz w:val="22"/>
      <w:szCs w:val="22"/>
    </w:rPr>
  </w:style>
  <w:style w:type="character" w:styleId="fontstyle21">
    <w:name w:val="fontstyle21"/>
    <w:basedOn w:val="DefaultParagraphFont"/>
    <w:qFormat/>
    <w:rPr>
      <w:rFonts w:ascii="Times-Roman" w:hAnsi="Times-Roman"/>
      <w:b w:val="false"/>
      <w:bCs w:val="false"/>
      <w:i w:val="false"/>
      <w:iCs w:val="false"/>
      <w:color w:val="000000"/>
      <w:sz w:val="22"/>
      <w:szCs w:val="22"/>
    </w:rPr>
  </w:style>
  <w:style w:type="character" w:styleId="fontstyle01">
    <w:name w:val="fontstyle01"/>
    <w:basedOn w:val="DefaultParagraphFont"/>
    <w:qFormat/>
    <w:rPr>
      <w:rFonts w:ascii="Times-Bold" w:hAnsi="Times-Bold"/>
      <w:b/>
      <w:bCs/>
      <w:i w:val="false"/>
      <w:iCs w:val="false"/>
      <w:color w:val="000000"/>
      <w:sz w:val="28"/>
      <w:szCs w:val="28"/>
    </w:rPr>
  </w:style>
  <w:style w:type="character" w:styleId="Znakiwypunktowaniauser">
    <w:name w:val="Znaki wypunktowania (user)"/>
    <w:qFormat/>
    <w:rPr>
      <w:rFonts w:ascii="Cambria" w:hAnsi="Cambria" w:eastAsia="OpenSymbol" w:cs="OpenSymbol"/>
      <w:sz w:val="28"/>
      <w:szCs w:val="2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rodtytul" w:customStyle="1">
    <w:name w:val="srodtytul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kapit" w:customStyle="1">
    <w:name w:val="akapit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link w:val="AkapitzlistZnak"/>
    <w:uiPriority w:val="34"/>
    <w:qFormat/>
    <w:rsid w:val="005164d6"/>
    <w:pPr>
      <w:spacing w:lineRule="auto" w:line="276" w:before="0" w:after="200"/>
      <w:ind w:left="720"/>
      <w:contextualSpacing/>
    </w:pPr>
    <w:rPr>
      <w:rFonts w:ascii="Calibri" w:hAnsi="Calibri" w:eastAsia="Calibri" w:cs="Times New Roman"/>
      <w:lang w:val="x-none"/>
    </w:rPr>
  </w:style>
  <w:style w:type="paragraph" w:styleId="Teksttreci1" w:customStyle="1">
    <w:name w:val="Tekst treści"/>
    <w:basedOn w:val="Normal"/>
    <w:link w:val="Teksttreci"/>
    <w:qFormat/>
    <w:rsid w:val="005112a3"/>
    <w:pPr>
      <w:widowControl w:val="false"/>
      <w:spacing w:lineRule="auto" w:line="262" w:before="0" w:after="0"/>
    </w:pPr>
    <w:rPr>
      <w:rFonts w:ascii="Arial Narrow" w:hAnsi="Arial Narrow" w:eastAsia="Arial Narrow" w:cs="Arial Narrow"/>
    </w:rPr>
  </w:style>
  <w:style w:type="paragraph" w:styleId="zalacznik" w:customStyle="1">
    <w:name w:val="zalacznik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ytul" w:customStyle="1">
    <w:name w:val="tytul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odstawa-prawna" w:customStyle="1">
    <w:name w:val="podstawa-prawna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iret" w:customStyle="1">
    <w:name w:val="tiret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1" w:customStyle="1">
    <w:name w:val="p1"/>
    <w:basedOn w:val="Normal"/>
    <w:qFormat/>
    <w:rsid w:val="00fe1523"/>
    <w:pPr>
      <w:spacing w:lineRule="auto" w:line="240" w:before="0" w:after="0"/>
    </w:pPr>
    <w:rPr>
      <w:rFonts w:ascii="Times New Roman" w:hAnsi="Times New Roman" w:eastAsia="Times New Roman" w:cs="Times New Roman"/>
      <w:color w:val="00000A"/>
      <w:sz w:val="17"/>
      <w:szCs w:val="17"/>
      <w:lang w:eastAsia="pl-PL"/>
    </w:rPr>
  </w:style>
  <w:style w:type="paragraph" w:styleId="Default" w:customStyle="1">
    <w:name w:val="Default"/>
    <w:qFormat/>
    <w:rsid w:val="00fe152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l-PL" w:eastAsia="zh-CN" w:bidi="ar-SA"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CommentText">
    <w:name w:val="annotation text"/>
    <w:basedOn w:val="Normal"/>
    <w:pPr>
      <w:spacing w:lineRule="auto" w:line="240"/>
    </w:pPr>
    <w:rPr>
      <w:sz w:val="20"/>
      <w:szCs w:val="20"/>
    </w:rPr>
  </w:style>
  <w:style w:type="paragraph" w:styleId="Punktopisu">
    <w:name w:val="Punkt opisu"/>
    <w:qFormat/>
    <w:pPr>
      <w:widowControl/>
      <w:suppressAutoHyphens w:val="true"/>
      <w:bidi w:val="0"/>
      <w:spacing w:lineRule="auto" w:line="259" w:before="0" w:after="0"/>
      <w:jc w:val="left"/>
    </w:pPr>
    <w:rPr>
      <w:rFonts w:ascii="Calibri Light" w:hAnsi="Calibri Light" w:eastAsia="Calibri" w:cs="Times New Roman" w:eastAsiaTheme="minorHAnsi"/>
      <w:color w:val="000000"/>
      <w:kern w:val="0"/>
      <w:sz w:val="22"/>
      <w:szCs w:val="24"/>
      <w:lang w:val="pl-PL" w:eastAsia="en-US" w:bidi="ar-SA"/>
    </w:rPr>
  </w:style>
  <w:style w:type="paragraph" w:styleId="TOC1">
    <w:name w:val="toc 1"/>
    <w:basedOn w:val="Normal"/>
    <w:next w:val="Normal"/>
    <w:pPr>
      <w:spacing w:before="0" w:after="100"/>
    </w:pPr>
    <w:rPr/>
  </w:style>
  <w:style w:type="paragraph" w:styleId="TOC2">
    <w:name w:val="toc 2"/>
    <w:basedOn w:val="Normal"/>
    <w:next w:val="Normal"/>
    <w:pPr>
      <w:tabs>
        <w:tab w:val="clear" w:pos="720"/>
        <w:tab w:val="right" w:pos="10478" w:leader="dot"/>
      </w:tabs>
      <w:spacing w:lineRule="auto" w:line="288" w:before="120" w:after="0"/>
      <w:ind w:hanging="425" w:left="822"/>
    </w:pPr>
    <w:rPr>
      <w:rFonts w:ascii="Calibri Light" w:hAnsi="Calibri Light" w:cs="Calibri"/>
      <w:bCs/>
      <w:sz w:val="24"/>
      <w:szCs w:val="20"/>
    </w:rPr>
  </w:style>
  <w:style w:type="paragraph" w:styleId="IndexHeading">
    <w:name w:val="index heading"/>
    <w:basedOn w:val="Nagwekuser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>
      <w:lang w:eastAsia="pl-PL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next w:val="BodyText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qFormat/>
    <w:pPr>
      <w:widowControl/>
      <w:suppressAutoHyphens w:val="true"/>
      <w:spacing w:lineRule="auto" w:line="276" w:before="100" w:after="142"/>
      <w:ind w:hanging="0" w:left="0" w:right="0"/>
      <w:jc w:val="left"/>
      <w:textAlignment w:val="auto"/>
    </w:pPr>
    <w:rPr>
      <w:rFonts w:cs="Times New Roman"/>
      <w:color w:val="000000"/>
      <w:sz w:val="24"/>
      <w:szCs w:val="24"/>
      <w:lang w:val="pl-PL" w:eastAsia="zh-TW" w:bidi="ar-SA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Akapitzlist">
    <w:name w:val="Akapit z listą"/>
    <w:basedOn w:val="Normal"/>
    <w:qFormat/>
    <w:pPr>
      <w:widowControl/>
      <w:ind w:hanging="0" w:left="708" w:right="0"/>
      <w:jc w:val="left"/>
      <w:textAlignment w:val="auto"/>
    </w:pPr>
    <w:rPr>
      <w:rFonts w:cs="Times New Roman"/>
      <w:sz w:val="24"/>
      <w:szCs w:val="24"/>
      <w:lang w:val="pl-PL" w:eastAsia="pl-PL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32c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eodezja.powiat.busko.pl/" TargetMode="External"/><Relationship Id="rId3" Type="http://schemas.openxmlformats.org/officeDocument/2006/relationships/hyperlink" Target="mailto:starostwo@powiat.busko.pl" TargetMode="External"/><Relationship Id="rId4" Type="http://schemas.openxmlformats.org/officeDocument/2006/relationships/hyperlink" Target="mailto:ewelina.stojek@powiat.busko.pl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2344</TotalTime>
  <Application>LibreOffice/25.8.1.1$Windows_X86_64 LibreOffice_project/54047653041915e595ad4e45cccea684809c77b5</Application>
  <AppVersion>15.0000</AppVersion>
  <Pages>16</Pages>
  <Words>5518</Words>
  <Characters>35835</Characters>
  <CharactersWithSpaces>41521</CharactersWithSpaces>
  <Paragraphs>153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2023-12-27T11:24:00Z</dcterms:created>
  <dc:creator>Edyta Bąk</dc:creator>
  <dc:description/>
  <dc:language>pl-PL</dc:language>
  <cp:lastModifiedBy/>
  <cp:lastPrinted>2026-07-01T13:50:13Z</cp:lastPrinted>
  <dcterms:modified xsi:type="dcterms:W3CDTF">2026-09-24T12:24:03Z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