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04FEF" w:rsidRDefault="00904FEF" w:rsidP="00401D0F">
      <w:pPr>
        <w:spacing w:line="360" w:lineRule="auto"/>
        <w:jc w:val="center"/>
        <w:rPr>
          <w:sz w:val="28"/>
          <w:szCs w:val="28"/>
          <w:lang w:val="pl-PL"/>
        </w:rPr>
      </w:pP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401D0F" w:rsidRDefault="00401D0F" w:rsidP="00084C9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 w:rsidR="00084C97">
        <w:rPr>
          <w:b/>
          <w:sz w:val="28"/>
          <w:szCs w:val="28"/>
          <w:lang w:val="pl-PL"/>
        </w:rPr>
        <w:t>ARCHITEKTURY I BUDOWNICTWA</w:t>
      </w: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pełna zdolność do czynności prawnych oraz korzystanie z pełni praw publicznych,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 xml:space="preserve">brak skazania prawomocnym wyrokiem sądu za umyślne przestępstwo ścigane </w:t>
      </w:r>
      <w:r w:rsidRPr="00904FEF">
        <w:rPr>
          <w:lang w:val="pl-PL"/>
        </w:rPr>
        <w:br/>
        <w:t>z oskarżenia publicznego lub umyślne przestępstwo skarbowe,</w:t>
      </w:r>
    </w:p>
    <w:p w:rsidR="00860AB9" w:rsidRPr="00904FEF" w:rsidRDefault="00860AB9" w:rsidP="00860AB9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wykształcenie wyższe budowlane lub średnie budowlane, specjalność: budownictwo ogólne</w:t>
      </w:r>
    </w:p>
    <w:p w:rsidR="00860AB9" w:rsidRPr="00904FEF" w:rsidRDefault="00860AB9" w:rsidP="00860AB9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staż pracy w administracji samorządowej:</w:t>
      </w:r>
    </w:p>
    <w:p w:rsidR="00860AB9" w:rsidRPr="00904FEF" w:rsidRDefault="00860AB9" w:rsidP="00860AB9">
      <w:pPr>
        <w:pStyle w:val="Akapitzlist"/>
        <w:numPr>
          <w:ilvl w:val="0"/>
          <w:numId w:val="27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min. 3 lata przy wykształceniu wyższym</w:t>
      </w:r>
    </w:p>
    <w:p w:rsidR="00860AB9" w:rsidRPr="00904FEF" w:rsidRDefault="00860AB9" w:rsidP="00860AB9">
      <w:pPr>
        <w:pStyle w:val="Akapitzlist"/>
        <w:numPr>
          <w:ilvl w:val="0"/>
          <w:numId w:val="27"/>
        </w:numPr>
        <w:suppressAutoHyphens/>
        <w:jc w:val="both"/>
        <w:rPr>
          <w:lang w:val="pl-PL"/>
        </w:rPr>
      </w:pPr>
      <w:r w:rsidRPr="00904FEF">
        <w:rPr>
          <w:lang w:val="pl-PL"/>
        </w:rPr>
        <w:t xml:space="preserve">min. 5 lat przy wykształceniu średnim 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ogólna znajomość przepisów:</w:t>
      </w:r>
    </w:p>
    <w:p w:rsidR="00084C97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</w:t>
      </w:r>
      <w:r w:rsidR="00084C97">
        <w:rPr>
          <w:lang w:val="pl-PL"/>
        </w:rPr>
        <w:t>prawo budowlane oraz rozporządzeń z nim związanych tj</w:t>
      </w:r>
      <w:r w:rsidR="00892881">
        <w:rPr>
          <w:lang w:val="pl-PL"/>
        </w:rPr>
        <w:t>.</w:t>
      </w:r>
    </w:p>
    <w:p w:rsidR="00084C97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>inistra</w:t>
      </w:r>
      <w:r w:rsidR="00A13639">
        <w:rPr>
          <w:lang w:val="pl-PL"/>
        </w:rPr>
        <w:t xml:space="preserve"> I</w:t>
      </w:r>
      <w:r>
        <w:rPr>
          <w:lang w:val="pl-PL"/>
        </w:rPr>
        <w:t>nfrastruktury w sprawie warunków technicznych, jakim powinny odpowiadać budynki i ich usytuowanie</w:t>
      </w:r>
    </w:p>
    <w:p w:rsidR="00401D0F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 xml:space="preserve">inistra </w:t>
      </w:r>
      <w:r w:rsidR="00A13639">
        <w:rPr>
          <w:lang w:val="pl-PL"/>
        </w:rPr>
        <w:t>Rolnictwa i G</w:t>
      </w:r>
      <w:r w:rsidR="00C85F10">
        <w:rPr>
          <w:lang w:val="pl-PL"/>
        </w:rPr>
        <w:t xml:space="preserve">ospodarki </w:t>
      </w:r>
      <w:r w:rsidR="00A13639">
        <w:rPr>
          <w:lang w:val="pl-PL"/>
        </w:rPr>
        <w:t>Ż</w:t>
      </w:r>
      <w:r w:rsidR="00C85F10">
        <w:rPr>
          <w:lang w:val="pl-PL"/>
        </w:rPr>
        <w:t>ywnościowej w sprawie warunków technicznych jakim powinny odpowiadać budowle rolnicze i ich usytuowanie</w:t>
      </w:r>
      <w:r w:rsidR="00401D0F" w:rsidRPr="00401D0F">
        <w:rPr>
          <w:lang w:val="pl-PL"/>
        </w:rPr>
        <w:t>,</w:t>
      </w:r>
    </w:p>
    <w:p w:rsidR="00A13639" w:rsidRPr="00401D0F" w:rsidRDefault="00A13639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>rozporządzenie Ministra Transportu, Budownictwa i Gospodarki Morskiej w sprawie szczegółowego zakresu i formy projektu budowlanego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– Kodeks postępowania administracyjnego,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o samorządzie powiatowym,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 xml:space="preserve">umiejętność obsługi </w:t>
      </w:r>
      <w:r w:rsidR="00A13639">
        <w:rPr>
          <w:lang w:val="pl-PL"/>
        </w:rPr>
        <w:t xml:space="preserve">komputera i </w:t>
      </w:r>
      <w:r w:rsidRPr="003815E7">
        <w:rPr>
          <w:lang w:val="pl-PL"/>
        </w:rPr>
        <w:t>podstawowego sprzętu biurowego.</w:t>
      </w:r>
    </w:p>
    <w:p w:rsidR="00401D0F" w:rsidRPr="00F71AD9" w:rsidRDefault="00401D0F" w:rsidP="00401D0F">
      <w:pPr>
        <w:pStyle w:val="Akapitzlist"/>
        <w:rPr>
          <w:lang w:val="pl-PL"/>
        </w:rPr>
      </w:pPr>
    </w:p>
    <w:p w:rsidR="00401D0F" w:rsidRPr="00F71AD9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A1363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preferowany staż pracy w jednostkach samorządu terytorialnego w zakresie budownictwa</w:t>
      </w:r>
    </w:p>
    <w:p w:rsidR="00401D0F" w:rsidRPr="007F590B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obowiązkowość, sumienność </w:t>
      </w:r>
    </w:p>
    <w:p w:rsidR="00401D0F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dokładność i odpowiedzialność</w:t>
      </w:r>
    </w:p>
    <w:p w:rsidR="00A13639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 w:rsidR="00A13639">
        <w:rPr>
          <w:lang w:val="pl-PL"/>
        </w:rPr>
        <w:t>uprzejmość</w:t>
      </w:r>
    </w:p>
    <w:p w:rsidR="00401D0F" w:rsidRPr="00F71AD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umiejętność rozmowy z interesantem</w:t>
      </w:r>
    </w:p>
    <w:p w:rsidR="00401D0F" w:rsidRPr="00F71AD9" w:rsidRDefault="00401D0F" w:rsidP="00401D0F">
      <w:pPr>
        <w:ind w:left="720"/>
        <w:jc w:val="both"/>
        <w:rPr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01D0F" w:rsidRPr="00F71AD9" w:rsidRDefault="00401D0F" w:rsidP="00401D0F">
      <w:pPr>
        <w:ind w:left="360"/>
        <w:jc w:val="both"/>
        <w:rPr>
          <w:b/>
          <w:bCs/>
          <w:lang w:val="pl-PL"/>
        </w:rPr>
      </w:pPr>
    </w:p>
    <w:p w:rsidR="00401D0F" w:rsidRPr="00401D0F" w:rsidRDefault="00401D0F" w:rsidP="00401D0F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bCs/>
          <w:lang w:val="pl-PL"/>
        </w:rPr>
        <w:t>praca biurowa</w:t>
      </w:r>
      <w:r w:rsidRPr="00401D0F">
        <w:rPr>
          <w:lang w:val="pl-PL" w:eastAsia="pl-PL"/>
        </w:rPr>
        <w:t xml:space="preserve"> </w:t>
      </w:r>
      <w:r w:rsidRPr="00401D0F">
        <w:rPr>
          <w:lang w:val="pl-PL"/>
        </w:rPr>
        <w:t xml:space="preserve">wymagająca umiejętności obsługi podstawowego sprzętu biurowego, szczególnej koncentracji, dokładności,  </w:t>
      </w:r>
      <w:r w:rsidRPr="00401D0F">
        <w:rPr>
          <w:lang w:val="pl-PL" w:eastAsia="pl-PL"/>
        </w:rPr>
        <w:t>wymuszona pozycja ciała siedząca.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/>
        </w:rPr>
        <w:t>praca przy komputerze powyżej 4 godzin na dobę</w:t>
      </w:r>
      <w:r w:rsidRPr="00401D0F">
        <w:rPr>
          <w:lang w:val="pl-PL" w:eastAsia="pl-PL"/>
        </w:rPr>
        <w:t xml:space="preserve"> z naturalnym i sztucznym oświetleniem</w:t>
      </w:r>
      <w:r w:rsidRPr="00401D0F">
        <w:rPr>
          <w:lang w:val="pl-PL"/>
        </w:rPr>
        <w:t>, praca wykonywana pod presją czasu.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 w:eastAsia="pl-PL"/>
        </w:rPr>
        <w:t>stanowisko usytuowane na I piętrze budynku przy ul. Mickiewicza 15, istnieją bariery architektoniczne w zakresie poruszania się osób niepełnosprawnych po budynku: występują schody, nie ma windy.</w:t>
      </w:r>
    </w:p>
    <w:p w:rsidR="00401D0F" w:rsidRPr="00AC196B" w:rsidRDefault="00401D0F" w:rsidP="00401D0F">
      <w:pPr>
        <w:numPr>
          <w:ilvl w:val="0"/>
          <w:numId w:val="5"/>
        </w:numPr>
        <w:jc w:val="both"/>
        <w:rPr>
          <w:bCs/>
          <w:lang w:val="pl-PL"/>
        </w:rPr>
      </w:pPr>
      <w:r w:rsidRPr="00401D0F">
        <w:rPr>
          <w:lang w:val="pl-PL" w:eastAsia="pl-PL"/>
        </w:rPr>
        <w:t xml:space="preserve">praca w systemie jednozmianowym od </w:t>
      </w:r>
      <w:proofErr w:type="spellStart"/>
      <w:r w:rsidRPr="00401D0F">
        <w:rPr>
          <w:lang w:val="pl-PL" w:eastAsia="pl-PL"/>
        </w:rPr>
        <w:t>pon</w:t>
      </w:r>
      <w:proofErr w:type="spellEnd"/>
      <w:r w:rsidRPr="00401D0F">
        <w:rPr>
          <w:lang w:val="pl-PL" w:eastAsia="pl-PL"/>
        </w:rPr>
        <w:t>. do</w:t>
      </w:r>
      <w:r w:rsidRPr="00F71AD9">
        <w:rPr>
          <w:lang w:val="pl-PL" w:eastAsia="pl-PL"/>
        </w:rPr>
        <w:t xml:space="preserve"> pt. </w:t>
      </w:r>
    </w:p>
    <w:p w:rsidR="00401D0F" w:rsidRPr="00F71AD9" w:rsidRDefault="00401D0F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401D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892881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</w:t>
      </w:r>
      <w:r w:rsidR="00892881">
        <w:rPr>
          <w:lang w:val="pl-PL"/>
        </w:rPr>
        <w:t>należy załatwianie spraw z zakresu administracji architektoniczno-budowlanej wynikających z ustawy – Prawo budowlane.</w:t>
      </w:r>
    </w:p>
    <w:p w:rsidR="00401D0F" w:rsidRPr="00184A9D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401D0F" w:rsidRPr="004824DE" w:rsidRDefault="00401D0F" w:rsidP="00401D0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01D0F" w:rsidRPr="00AC196B" w:rsidRDefault="00401D0F" w:rsidP="00401D0F">
      <w:pPr>
        <w:pStyle w:val="Akapitzlist"/>
        <w:ind w:left="360"/>
        <w:jc w:val="both"/>
        <w:rPr>
          <w:b/>
          <w:lang w:val="pl-PL"/>
        </w:rPr>
      </w:pPr>
    </w:p>
    <w:p w:rsidR="00401D0F" w:rsidRPr="004824DE" w:rsidRDefault="00B21E3E" w:rsidP="00401D0F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 w:rsidR="00B21E3E">
        <w:rPr>
          <w:lang w:val="pl-PL"/>
        </w:rPr>
        <w:t xml:space="preserve"> z odręcznym podpisem,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 w:rsidR="00B21E3E"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4B16BC" w:rsidRPr="004B16BC" w:rsidRDefault="00401D0F" w:rsidP="004B16B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4B16BC">
        <w:rPr>
          <w:lang w:val="pl-PL"/>
        </w:rPr>
        <w:t xml:space="preserve"> </w:t>
      </w:r>
      <w:r w:rsidR="004B16BC" w:rsidRPr="004B16BC">
        <w:rPr>
          <w:lang w:val="pl-PL"/>
        </w:rPr>
        <w:t>Oświadczenie że kandydat: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2)</w:t>
      </w:r>
    </w:p>
    <w:p w:rsidR="004B16BC" w:rsidRPr="00F71AD9" w:rsidRDefault="004B16BC" w:rsidP="004B16BC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401D0F" w:rsidRPr="001268D2" w:rsidRDefault="00401D0F" w:rsidP="004B16BC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4B16BC">
        <w:rPr>
          <w:lang w:val="pl-PL"/>
        </w:rPr>
        <w:t>3</w:t>
      </w:r>
      <w:r w:rsidRPr="001268D2">
        <w:rPr>
          <w:lang w:val="pl-PL"/>
        </w:rPr>
        <w:t>)</w:t>
      </w:r>
    </w:p>
    <w:p w:rsidR="00401D0F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4B16BC">
        <w:rPr>
          <w:lang w:val="pl-PL"/>
        </w:rPr>
        <w:t>4</w:t>
      </w:r>
      <w:r w:rsidRPr="00F71AD9">
        <w:rPr>
          <w:lang w:val="pl-PL"/>
        </w:rPr>
        <w:t>).</w:t>
      </w: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01D0F" w:rsidRPr="00751D3B" w:rsidRDefault="00401D0F" w:rsidP="00401D0F">
      <w:pPr>
        <w:pStyle w:val="Akapitzlist"/>
        <w:ind w:left="426"/>
        <w:jc w:val="both"/>
        <w:rPr>
          <w:b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 w:rsidR="00892881">
        <w:rPr>
          <w:b/>
          <w:lang w:val="pl-PL"/>
        </w:rPr>
        <w:t xml:space="preserve">„Dotyczy naboru na stanowisko </w:t>
      </w:r>
      <w:r w:rsidR="004B16BC">
        <w:rPr>
          <w:b/>
          <w:lang w:val="pl-PL"/>
        </w:rPr>
        <w:t>I</w:t>
      </w:r>
      <w:r w:rsidRPr="00F71AD9">
        <w:rPr>
          <w:b/>
          <w:lang w:val="pl-PL"/>
        </w:rPr>
        <w:t xml:space="preserve">nspektor w Wydziale </w:t>
      </w:r>
      <w:r w:rsidR="00892881">
        <w:rPr>
          <w:b/>
          <w:lang w:val="pl-PL"/>
        </w:rPr>
        <w:t xml:space="preserve">Architektury </w:t>
      </w:r>
      <w:r w:rsidR="00892881">
        <w:rPr>
          <w:b/>
          <w:lang w:val="pl-PL"/>
        </w:rPr>
        <w:br/>
        <w:t>i Budownictwa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</w:t>
      </w:r>
      <w:r w:rsidR="004B16BC">
        <w:rPr>
          <w:b/>
          <w:lang w:val="pl-PL"/>
        </w:rPr>
        <w:br/>
      </w:r>
      <w:r w:rsidRPr="00F71AD9">
        <w:rPr>
          <w:b/>
          <w:lang w:val="pl-PL"/>
        </w:rPr>
        <w:t xml:space="preserve">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4B16BC">
        <w:rPr>
          <w:b/>
          <w:lang w:val="pl-PL"/>
        </w:rPr>
        <w:t>25 maja</w:t>
      </w:r>
      <w:r w:rsidR="00DC7A62">
        <w:rPr>
          <w:b/>
          <w:lang w:val="pl-PL"/>
        </w:rPr>
        <w:t xml:space="preserve"> 2020</w:t>
      </w:r>
      <w:r w:rsidRPr="00F71AD9">
        <w:rPr>
          <w:b/>
          <w:lang w:val="pl-PL"/>
        </w:rPr>
        <w:t xml:space="preserve"> r. godz. 1</w:t>
      </w:r>
      <w:r w:rsidR="00B45398"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B16BC" w:rsidRDefault="004B16BC" w:rsidP="00401D0F">
      <w:pPr>
        <w:rPr>
          <w:lang w:val="pl-PL"/>
        </w:rPr>
      </w:pPr>
    </w:p>
    <w:p w:rsidR="004B16BC" w:rsidRPr="00F71AD9" w:rsidRDefault="004B16BC" w:rsidP="00401D0F">
      <w:pPr>
        <w:rPr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904FEF" w:rsidRDefault="00904FEF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904FEF" w:rsidRPr="00DC7A62" w:rsidRDefault="00904FEF" w:rsidP="00DC7A62">
      <w:pPr>
        <w:jc w:val="center"/>
        <w:rPr>
          <w:b/>
          <w:lang w:val="pl-PL"/>
        </w:rPr>
      </w:pPr>
    </w:p>
    <w:p w:rsidR="00DC7A62" w:rsidRPr="00926855" w:rsidRDefault="00DC7A62" w:rsidP="00904FEF">
      <w:pPr>
        <w:spacing w:line="360" w:lineRule="auto"/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B45398">
        <w:rPr>
          <w:b/>
          <w:lang w:val="pl-PL"/>
        </w:rPr>
        <w:t xml:space="preserve">Wydział </w:t>
      </w:r>
      <w:r w:rsidR="00892881" w:rsidRPr="00B45398">
        <w:rPr>
          <w:b/>
          <w:lang w:val="pl-PL"/>
        </w:rPr>
        <w:t>Architektury i Budownictwa</w:t>
      </w:r>
    </w:p>
    <w:p w:rsidR="00DC7A62" w:rsidRPr="00926855" w:rsidRDefault="00DC7A62" w:rsidP="00904FEF">
      <w:pPr>
        <w:spacing w:line="360" w:lineRule="auto"/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</w:t>
      </w:r>
      <w:r w:rsidR="00B45398">
        <w:rPr>
          <w:u w:val="single"/>
          <w:lang w:val="pl-PL"/>
        </w:rPr>
        <w:t>i</w:t>
      </w:r>
      <w:r w:rsidRPr="00926855">
        <w:rPr>
          <w:u w:val="single"/>
          <w:lang w:val="pl-PL"/>
        </w:rPr>
        <w:t xml:space="preserve"> organizacyjnej</w:t>
      </w:r>
      <w:r w:rsidRPr="00926855">
        <w:rPr>
          <w:lang w:val="pl-PL"/>
        </w:rPr>
        <w:t xml:space="preserve">: </w:t>
      </w:r>
      <w:r w:rsidR="00892881">
        <w:rPr>
          <w:b/>
          <w:sz w:val="20"/>
          <w:szCs w:val="20"/>
          <w:lang w:val="pl-PL"/>
        </w:rPr>
        <w:t>AB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 w:rsidR="004B16BC">
        <w:rPr>
          <w:b/>
          <w:lang w:val="pl-PL"/>
        </w:rPr>
        <w:t>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Pr="00B45398" w:rsidRDefault="00DC7A62" w:rsidP="00B4539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lang w:val="pl-PL"/>
        </w:rPr>
      </w:pPr>
      <w:r w:rsidRPr="00B45398">
        <w:rPr>
          <w:b/>
          <w:lang w:val="pl-PL"/>
        </w:rPr>
        <w:t xml:space="preserve">Prowadzenie spraw z zakresu </w:t>
      </w:r>
      <w:r w:rsidR="00892881" w:rsidRPr="00B45398">
        <w:rPr>
          <w:b/>
          <w:lang w:val="pl-PL"/>
        </w:rPr>
        <w:t>administracji architektoniczno-budowlanej</w:t>
      </w:r>
      <w:r w:rsidRPr="00B45398">
        <w:rPr>
          <w:b/>
          <w:lang w:val="pl-PL"/>
        </w:rPr>
        <w:t>, a w szczególności</w:t>
      </w:r>
      <w:r w:rsidRPr="00B45398">
        <w:rPr>
          <w:lang w:val="pl-PL"/>
        </w:rPr>
        <w:t>:</w:t>
      </w:r>
    </w:p>
    <w:p w:rsidR="00D477F2" w:rsidRDefault="00D477F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892881">
        <w:rPr>
          <w:bCs/>
        </w:rPr>
        <w:t>ydawanie decyzji o pozwoleniu</w:t>
      </w:r>
      <w:r w:rsidR="00B45398">
        <w:rPr>
          <w:bCs/>
        </w:rPr>
        <w:t xml:space="preserve"> na budowę obiektów budowlanych.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</w:t>
      </w:r>
      <w:r w:rsidR="00B45398">
        <w:rPr>
          <w:bCs/>
        </w:rPr>
        <w:t xml:space="preserve"> o zmianie pozwolenia na budowę.</w:t>
      </w:r>
    </w:p>
    <w:p w:rsidR="00D477F2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 w:rsidRPr="00D477F2">
        <w:rPr>
          <w:bCs/>
        </w:rPr>
        <w:t>rzenoszenie decyzji o pozwoleniu na b</w:t>
      </w:r>
      <w:r w:rsidR="00B45398">
        <w:rPr>
          <w:bCs/>
        </w:rPr>
        <w:t>udowę  na rzecz innego podmiotu.</w:t>
      </w:r>
    </w:p>
    <w:p w:rsidR="00892881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 o p</w:t>
      </w:r>
      <w:r w:rsidR="00B45398">
        <w:rPr>
          <w:bCs/>
        </w:rPr>
        <w:t>ozwoleniu na rozbiórkę obiektów.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decyzji na realizację inwestycji drogowych na podstawie tzw.”Specustawy”</w:t>
      </w:r>
      <w:r w:rsidR="00B45398">
        <w:rPr>
          <w:bCs/>
        </w:rPr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S</w:t>
      </w:r>
      <w:r w:rsidR="00892881">
        <w:rPr>
          <w:bCs/>
        </w:rPr>
        <w:t>prawdzanie zgodności projektów budowlanych z ustaleniami miejscowych planów zagospodarowania  terenó</w:t>
      </w:r>
      <w:r w:rsidR="00B45398">
        <w:rPr>
          <w:bCs/>
        </w:rPr>
        <w:t>w w miejscach ich obowiązywania.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rPr>
          <w:bCs/>
        </w:rPr>
        <w:t>W</w:t>
      </w:r>
      <w:r w:rsidR="00892881">
        <w:rPr>
          <w:bCs/>
        </w:rPr>
        <w:t xml:space="preserve">ydawanie zaświadczeń </w:t>
      </w:r>
      <w:r w:rsidR="00B45398">
        <w:rPr>
          <w:rFonts w:eastAsia="Times New Roman" w:cs="Times New Roman"/>
          <w:bCs/>
          <w:lang w:bidi="ar-SA"/>
        </w:rPr>
        <w:t>o samodzielności lokali.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zaświadczeń o braku sprzeciw</w:t>
      </w:r>
      <w:r w:rsidR="00B45398">
        <w:rPr>
          <w:bCs/>
        </w:rPr>
        <w:t>u do zgłoszeń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robót budowlanych, które nie wymaga</w:t>
      </w:r>
      <w:r w:rsidR="00B45398">
        <w:rPr>
          <w:bCs/>
        </w:rPr>
        <w:t xml:space="preserve">ją wydania pozwolenia </w:t>
      </w:r>
      <w:r w:rsidR="00B45398">
        <w:rPr>
          <w:bCs/>
        </w:rPr>
        <w:br/>
        <w:t>na budowę.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zmiany sposobu użytkowania obiektów,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U</w:t>
      </w:r>
      <w:r w:rsidR="00892881">
        <w:rPr>
          <w:bCs/>
        </w:rPr>
        <w:t xml:space="preserve">chylanie decyzji o pozwoleniu na budowę na wniosek Powiatowego Inspektora Nadzoru Budowlanego w sprawach </w:t>
      </w:r>
      <w:r w:rsidR="00B45398">
        <w:rPr>
          <w:bCs/>
        </w:rPr>
        <w:t>dotyczących samowoli budowlanej.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postanowień w trakcie postępowania o pozwolenie na budowę</w:t>
      </w:r>
      <w:r w:rsidR="00B45398">
        <w:t xml:space="preserve"> i zgłoszenie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B45398">
        <w:t>rowadzenie statystyki GUS.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892881">
        <w:t>rowadzenie wszelkich, obowiązujących rejestrów spraw wpływających do z</w:t>
      </w:r>
      <w:r w:rsidR="00B45398">
        <w:t>ałatwienia i spraw załatwionych.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ystępowanie z wnioskami do odpowiedniego Ministra o upoważnienie do udzielania zgody na odstępstwo od prz</w:t>
      </w:r>
      <w:r w:rsidR="00B45398">
        <w:t>episów techniczno –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dzienników budowy</w:t>
      </w:r>
      <w:r w:rsidR="00B45398"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Przyjmowanie</w:t>
      </w:r>
      <w:r w:rsidR="00892881">
        <w:t xml:space="preserve"> interesantów</w:t>
      </w:r>
      <w:r>
        <w:t xml:space="preserve"> i załatwianie ich spraw</w:t>
      </w:r>
      <w:r w:rsidR="00892881">
        <w:t>.</w:t>
      </w:r>
    </w:p>
    <w:p w:rsidR="00D477F2" w:rsidRDefault="00D477F2" w:rsidP="00892881">
      <w:pPr>
        <w:pStyle w:val="Standard"/>
        <w:ind w:left="360"/>
        <w:jc w:val="both"/>
      </w:pPr>
    </w:p>
    <w:p w:rsidR="00892881" w:rsidRDefault="00892881" w:rsidP="00892881">
      <w:pPr>
        <w:pStyle w:val="Standard"/>
        <w:ind w:left="360"/>
        <w:jc w:val="both"/>
      </w:pPr>
      <w:r>
        <w:t>Sprawy do załatwienia przydzielane są każdorazowo przez Naczelnika Wydziału.</w:t>
      </w:r>
    </w:p>
    <w:p w:rsidR="00D477F2" w:rsidRDefault="00D477F2" w:rsidP="00D477F2">
      <w:pPr>
        <w:pStyle w:val="Standard"/>
        <w:jc w:val="both"/>
        <w:rPr>
          <w:rFonts w:cs="Times New Roman"/>
        </w:rPr>
      </w:pPr>
    </w:p>
    <w:p w:rsidR="00DC7A62" w:rsidRDefault="00DC7A62" w:rsidP="00B45398">
      <w:pPr>
        <w:pStyle w:val="Standard"/>
        <w:numPr>
          <w:ilvl w:val="0"/>
          <w:numId w:val="26"/>
        </w:numPr>
        <w:ind w:left="284" w:hanging="284"/>
        <w:jc w:val="both"/>
        <w:rPr>
          <w:rFonts w:cs="Times New Roman"/>
          <w:b/>
        </w:rPr>
      </w:pPr>
      <w:r w:rsidRPr="00B45398">
        <w:rPr>
          <w:rFonts w:cs="Times New Roman"/>
          <w:b/>
        </w:rPr>
        <w:t xml:space="preserve">Pracownik obowiązany jest do przestrzegania ustalonego porządku i dyscypliny </w:t>
      </w:r>
      <w:r w:rsidR="00B45398">
        <w:rPr>
          <w:rFonts w:cs="Times New Roman"/>
          <w:b/>
        </w:rPr>
        <w:br/>
      </w:r>
      <w:r w:rsidRPr="00B45398">
        <w:rPr>
          <w:rFonts w:cs="Times New Roman"/>
          <w:b/>
        </w:rPr>
        <w:t>w Starostwie i ponosi odpowiedzialność za:</w:t>
      </w:r>
    </w:p>
    <w:p w:rsidR="00B45398" w:rsidRPr="00B45398" w:rsidRDefault="00B45398" w:rsidP="00B45398">
      <w:pPr>
        <w:pStyle w:val="Standard"/>
        <w:ind w:left="284"/>
        <w:jc w:val="both"/>
        <w:rPr>
          <w:rFonts w:cs="Times New Roman"/>
          <w:b/>
        </w:rPr>
      </w:pP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Właściwe stosowanie przepisów prawa proceduralnego i materialneg</w:t>
      </w:r>
      <w:r w:rsidR="00B45398">
        <w:rPr>
          <w:rFonts w:cs="Times New Roman"/>
        </w:rPr>
        <w:t>o oraz instrukcji kancelaryjnej.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Terminowe załatwianie spraw</w:t>
      </w:r>
      <w:r w:rsidR="00B45398">
        <w:rPr>
          <w:rFonts w:cs="Times New Roman"/>
        </w:rPr>
        <w:t>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Prawidłowe ewidencjonowanie i przechowywanie akt spraw i innych dokumentów urzędowych, pieczęci rejestrów, kluczy oraz innego wyposażenia </w:t>
      </w:r>
      <w:r w:rsidR="00B45398">
        <w:rPr>
          <w:rFonts w:cs="Times New Roman"/>
        </w:rPr>
        <w:t>na powierzonym stanowisku pracy.</w:t>
      </w:r>
    </w:p>
    <w:p w:rsidR="00401D0F" w:rsidRPr="005009E9" w:rsidRDefault="00401D0F" w:rsidP="00D477F2">
      <w:pPr>
        <w:ind w:left="567" w:hanging="425"/>
        <w:rPr>
          <w:b/>
          <w:bCs/>
          <w:color w:val="FF0000"/>
          <w:spacing w:val="-1"/>
          <w:lang w:val="pl-PL"/>
        </w:rPr>
      </w:pP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B16BC" w:rsidRDefault="004B16BC" w:rsidP="004B16BC">
      <w:pPr>
        <w:rPr>
          <w:b/>
          <w:bCs/>
          <w:spacing w:val="-1"/>
          <w:lang w:val="pl-PL"/>
        </w:rPr>
      </w:pPr>
    </w:p>
    <w:p w:rsidR="004B16BC" w:rsidRPr="00F71AD9" w:rsidRDefault="004B16BC" w:rsidP="004B16BC">
      <w:pPr>
        <w:jc w:val="right"/>
        <w:rPr>
          <w:b/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B16BC" w:rsidRPr="006972A9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rPr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5513A5" w:rsidRPr="003E39A9" w:rsidRDefault="005513A5" w:rsidP="005513A5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5513A5" w:rsidRPr="003E39A9" w:rsidRDefault="005513A5" w:rsidP="005513A5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5513A5" w:rsidRPr="003E39A9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7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5513A5" w:rsidRPr="003E39A9" w:rsidRDefault="005513A5" w:rsidP="005513A5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5513A5" w:rsidRPr="003E39A9" w:rsidRDefault="005513A5" w:rsidP="005513A5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5513A5" w:rsidRPr="003E39A9" w:rsidRDefault="005513A5" w:rsidP="005513A5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4B16BC">
        <w:rPr>
          <w:szCs w:val="24"/>
        </w:rPr>
        <w:t>4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892881">
      <w:footerReference w:type="even" r:id="rId8"/>
      <w:footerReference w:type="default" r:id="rId9"/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B9" w:rsidRDefault="00860AB9" w:rsidP="00B025D1">
      <w:r>
        <w:separator/>
      </w:r>
    </w:p>
  </w:endnote>
  <w:endnote w:type="continuationSeparator" w:id="0">
    <w:p w:rsidR="00860AB9" w:rsidRDefault="00860AB9" w:rsidP="00B0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B9" w:rsidRDefault="00893B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A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AB9" w:rsidRDefault="00860A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B9" w:rsidRDefault="00893B0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860AB9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513A5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860AB9" w:rsidRDefault="00860A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B9" w:rsidRDefault="00860AB9" w:rsidP="00B025D1">
      <w:r>
        <w:separator/>
      </w:r>
    </w:p>
  </w:footnote>
  <w:footnote w:type="continuationSeparator" w:id="0">
    <w:p w:rsidR="00860AB9" w:rsidRDefault="00860AB9" w:rsidP="00B0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44"/>
    <w:multiLevelType w:val="hybridMultilevel"/>
    <w:tmpl w:val="6936CB7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2CF3"/>
    <w:multiLevelType w:val="hybridMultilevel"/>
    <w:tmpl w:val="BE64B99E"/>
    <w:lvl w:ilvl="0" w:tplc="77AEE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4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B515F3D"/>
    <w:multiLevelType w:val="multilevel"/>
    <w:tmpl w:val="90DA7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DE00C91"/>
    <w:multiLevelType w:val="multilevel"/>
    <w:tmpl w:val="3524F9E2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D4F37"/>
    <w:multiLevelType w:val="hybridMultilevel"/>
    <w:tmpl w:val="59E87BA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8"/>
  </w:num>
  <w:num w:numId="5">
    <w:abstractNumId w:val="9"/>
  </w:num>
  <w:num w:numId="6">
    <w:abstractNumId w:val="8"/>
  </w:num>
  <w:num w:numId="7">
    <w:abstractNumId w:val="3"/>
  </w:num>
  <w:num w:numId="8">
    <w:abstractNumId w:val="23"/>
  </w:num>
  <w:num w:numId="9">
    <w:abstractNumId w:val="22"/>
  </w:num>
  <w:num w:numId="10">
    <w:abstractNumId w:val="2"/>
  </w:num>
  <w:num w:numId="11">
    <w:abstractNumId w:val="30"/>
  </w:num>
  <w:num w:numId="12">
    <w:abstractNumId w:val="6"/>
  </w:num>
  <w:num w:numId="13">
    <w:abstractNumId w:val="7"/>
  </w:num>
  <w:num w:numId="14">
    <w:abstractNumId w:val="20"/>
  </w:num>
  <w:num w:numId="15">
    <w:abstractNumId w:val="4"/>
  </w:num>
  <w:num w:numId="16">
    <w:abstractNumId w:val="19"/>
  </w:num>
  <w:num w:numId="17">
    <w:abstractNumId w:val="17"/>
  </w:num>
  <w:num w:numId="18">
    <w:abstractNumId w:val="19"/>
    <w:lvlOverride w:ilvl="0">
      <w:startOverride w:val="1"/>
    </w:lvlOverride>
  </w:num>
  <w:num w:numId="19">
    <w:abstractNumId w:val="24"/>
  </w:num>
  <w:num w:numId="20">
    <w:abstractNumId w:val="17"/>
    <w:lvlOverride w:ilvl="0">
      <w:startOverride w:val="1"/>
    </w:lvlOverride>
  </w:num>
  <w:num w:numId="21">
    <w:abstractNumId w:val="25"/>
  </w:num>
  <w:num w:numId="22">
    <w:abstractNumId w:val="21"/>
  </w:num>
  <w:num w:numId="23">
    <w:abstractNumId w:val="29"/>
  </w:num>
  <w:num w:numId="24">
    <w:abstractNumId w:val="26"/>
  </w:num>
  <w:num w:numId="25">
    <w:abstractNumId w:val="26"/>
  </w:num>
  <w:num w:numId="26">
    <w:abstractNumId w:val="12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1"/>
  </w:num>
  <w:num w:numId="32">
    <w:abstractNumId w:val="15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084C97"/>
    <w:rsid w:val="00401D0F"/>
    <w:rsid w:val="004B16BC"/>
    <w:rsid w:val="004C3570"/>
    <w:rsid w:val="00535CF8"/>
    <w:rsid w:val="005513A5"/>
    <w:rsid w:val="006A1635"/>
    <w:rsid w:val="007C1304"/>
    <w:rsid w:val="00860AB9"/>
    <w:rsid w:val="00892881"/>
    <w:rsid w:val="00893B06"/>
    <w:rsid w:val="00904FEF"/>
    <w:rsid w:val="00A13639"/>
    <w:rsid w:val="00A8332F"/>
    <w:rsid w:val="00B025D1"/>
    <w:rsid w:val="00B21E3E"/>
    <w:rsid w:val="00B45398"/>
    <w:rsid w:val="00C3521D"/>
    <w:rsid w:val="00C57C5C"/>
    <w:rsid w:val="00C85F10"/>
    <w:rsid w:val="00D477F2"/>
    <w:rsid w:val="00D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numbering" w:customStyle="1" w:styleId="WW8Num2">
    <w:name w:val="WW8Num2"/>
    <w:basedOn w:val="Bezlisty"/>
    <w:rsid w:val="00892881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551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7</cp:revision>
  <cp:lastPrinted>2020-01-15T07:36:00Z</cp:lastPrinted>
  <dcterms:created xsi:type="dcterms:W3CDTF">2019-12-30T10:20:00Z</dcterms:created>
  <dcterms:modified xsi:type="dcterms:W3CDTF">2020-05-12T07:16:00Z</dcterms:modified>
</cp:coreProperties>
</file>