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F1" w:rsidRPr="005863C3" w:rsidRDefault="000F67F1" w:rsidP="00B91B9F">
      <w:pPr>
        <w:tabs>
          <w:tab w:val="left" w:pos="2055"/>
          <w:tab w:val="center" w:pos="3356"/>
        </w:tabs>
        <w:spacing w:after="0" w:line="360" w:lineRule="auto"/>
        <w:jc w:val="center"/>
        <w:outlineLvl w:val="0"/>
        <w:rPr>
          <w:b/>
          <w:bCs/>
          <w:sz w:val="28"/>
          <w:szCs w:val="28"/>
        </w:rPr>
      </w:pPr>
      <w:r w:rsidRPr="005863C3">
        <w:rPr>
          <w:b/>
          <w:bCs/>
          <w:sz w:val="28"/>
          <w:szCs w:val="28"/>
        </w:rPr>
        <w:t>Uzasadnienie</w:t>
      </w:r>
    </w:p>
    <w:p w:rsidR="000F67F1" w:rsidRPr="007D55DC" w:rsidRDefault="000F67F1" w:rsidP="007D7477">
      <w:pPr>
        <w:spacing w:after="0" w:line="360" w:lineRule="auto"/>
        <w:jc w:val="center"/>
        <w:rPr>
          <w:b/>
          <w:bCs/>
        </w:rPr>
      </w:pPr>
      <w:r w:rsidRPr="005863C3">
        <w:rPr>
          <w:b/>
          <w:bCs/>
        </w:rPr>
        <w:t>zawierające informację o udziale społeczeństwa w postępowaniu strategicznej oceny oddziaływania</w:t>
      </w:r>
      <w:r>
        <w:rPr>
          <w:b/>
          <w:bCs/>
        </w:rPr>
        <w:t xml:space="preserve"> na środowisko</w:t>
      </w:r>
      <w:r w:rsidRPr="005863C3">
        <w:rPr>
          <w:b/>
          <w:bCs/>
        </w:rPr>
        <w:t xml:space="preserve"> projektu</w:t>
      </w:r>
      <w:r>
        <w:rPr>
          <w:b/>
          <w:bCs/>
        </w:rPr>
        <w:t xml:space="preserve"> </w:t>
      </w:r>
      <w:r w:rsidRPr="007D55DC">
        <w:rPr>
          <w:b/>
          <w:bCs/>
          <w:i/>
          <w:iCs/>
        </w:rPr>
        <w:t xml:space="preserve">Strategii Rozwoju </w:t>
      </w:r>
      <w:r>
        <w:rPr>
          <w:b/>
          <w:bCs/>
          <w:i/>
          <w:iCs/>
        </w:rPr>
        <w:t>Obszaru Strategicznej Interwencji Świętokrzyskie Uzdrowiska</w:t>
      </w:r>
      <w:r w:rsidRPr="007D55DC">
        <w:rPr>
          <w:b/>
          <w:bCs/>
          <w:i/>
          <w:iCs/>
        </w:rPr>
        <w:t xml:space="preserve"> na lata 2022–20</w:t>
      </w:r>
      <w:r>
        <w:rPr>
          <w:b/>
          <w:bCs/>
          <w:i/>
          <w:iCs/>
        </w:rPr>
        <w:t>27</w:t>
      </w:r>
    </w:p>
    <w:p w:rsidR="000F67F1" w:rsidRPr="00325010" w:rsidRDefault="000F67F1" w:rsidP="00325010">
      <w:pPr>
        <w:spacing w:before="240" w:after="0" w:line="360" w:lineRule="auto"/>
        <w:rPr>
          <w:b/>
          <w:bCs/>
          <w:i/>
          <w:iCs/>
          <w:sz w:val="23"/>
          <w:szCs w:val="23"/>
        </w:rPr>
      </w:pPr>
      <w:r>
        <w:tab/>
      </w:r>
      <w:r w:rsidRPr="00325010">
        <w:rPr>
          <w:sz w:val="23"/>
          <w:szCs w:val="23"/>
        </w:rPr>
        <w:t xml:space="preserve">Przeprowadzenie strategicznej oceny oddziaływania na środowisko </w:t>
      </w:r>
      <w:r w:rsidRPr="00325010">
        <w:rPr>
          <w:i/>
          <w:iCs/>
          <w:sz w:val="23"/>
          <w:szCs w:val="23"/>
        </w:rPr>
        <w:t xml:space="preserve">Strategii Rozwoju </w:t>
      </w:r>
      <w:r>
        <w:rPr>
          <w:i/>
          <w:iCs/>
          <w:sz w:val="23"/>
          <w:szCs w:val="23"/>
        </w:rPr>
        <w:t xml:space="preserve">Obszaru Strategicznej Interwencji Świętokrzyskie Uzdrowiska </w:t>
      </w:r>
      <w:r w:rsidRPr="00325010">
        <w:rPr>
          <w:i/>
          <w:iCs/>
          <w:sz w:val="23"/>
          <w:szCs w:val="23"/>
        </w:rPr>
        <w:t>na lata 2022–20</w:t>
      </w:r>
      <w:r>
        <w:rPr>
          <w:i/>
          <w:iCs/>
          <w:sz w:val="23"/>
          <w:szCs w:val="23"/>
        </w:rPr>
        <w:t>27</w:t>
      </w:r>
      <w:r w:rsidRPr="00325010">
        <w:rPr>
          <w:i/>
          <w:iCs/>
          <w:sz w:val="23"/>
          <w:szCs w:val="23"/>
        </w:rPr>
        <w:t xml:space="preserve"> </w:t>
      </w:r>
      <w:r w:rsidRPr="00325010">
        <w:rPr>
          <w:sz w:val="23"/>
          <w:szCs w:val="23"/>
        </w:rPr>
        <w:t xml:space="preserve">wynika </w:t>
      </w:r>
      <w:r>
        <w:rPr>
          <w:sz w:val="23"/>
          <w:szCs w:val="23"/>
        </w:rPr>
        <w:br/>
      </w:r>
      <w:r w:rsidRPr="00325010">
        <w:rPr>
          <w:sz w:val="23"/>
          <w:szCs w:val="23"/>
        </w:rPr>
        <w:t xml:space="preserve">z przepisów </w:t>
      </w:r>
      <w:r w:rsidRPr="00325010">
        <w:rPr>
          <w:i/>
          <w:iCs/>
          <w:sz w:val="23"/>
          <w:szCs w:val="23"/>
        </w:rPr>
        <w:t>Ustawy z dnia 3 października 2008 r. o udostępnianiu informacji o środowisku i jego ochronie, udziale społeczeństwa w ochronie środowiska oraz o ocenach oddziaływania na środowisko</w:t>
      </w:r>
      <w:r>
        <w:rPr>
          <w:i/>
          <w:iCs/>
          <w:sz w:val="23"/>
          <w:szCs w:val="23"/>
        </w:rPr>
        <w:t xml:space="preserve"> </w:t>
      </w:r>
      <w:r w:rsidRPr="00325010">
        <w:rPr>
          <w:sz w:val="23"/>
          <w:szCs w:val="23"/>
        </w:rPr>
        <w:t>(Dz. U. z 202</w:t>
      </w:r>
      <w:r>
        <w:rPr>
          <w:sz w:val="23"/>
          <w:szCs w:val="23"/>
        </w:rPr>
        <w:t>3</w:t>
      </w:r>
      <w:r w:rsidRPr="00325010">
        <w:rPr>
          <w:sz w:val="23"/>
          <w:szCs w:val="23"/>
        </w:rPr>
        <w:t xml:space="preserve"> r. poz. 109</w:t>
      </w:r>
      <w:r>
        <w:rPr>
          <w:sz w:val="23"/>
          <w:szCs w:val="23"/>
        </w:rPr>
        <w:t>4</w:t>
      </w:r>
      <w:r w:rsidRPr="00325010">
        <w:rPr>
          <w:sz w:val="23"/>
          <w:szCs w:val="23"/>
        </w:rPr>
        <w:t xml:space="preserve"> z</w:t>
      </w:r>
      <w:r>
        <w:rPr>
          <w:sz w:val="23"/>
          <w:szCs w:val="23"/>
        </w:rPr>
        <w:t>e</w:t>
      </w:r>
      <w:r w:rsidRPr="00325010">
        <w:rPr>
          <w:sz w:val="23"/>
          <w:szCs w:val="23"/>
        </w:rPr>
        <w:t xml:space="preserve"> zm.). </w:t>
      </w:r>
      <w:r w:rsidRPr="00325010">
        <w:rPr>
          <w:sz w:val="23"/>
          <w:szCs w:val="23"/>
          <w:lang w:eastAsia="pl-PL"/>
        </w:rPr>
        <w:t xml:space="preserve">Dodatkowo jest spełnieniem obowiązku prawnego wynikającego z </w:t>
      </w:r>
      <w:r w:rsidRPr="00325010">
        <w:rPr>
          <w:i/>
          <w:iCs/>
          <w:sz w:val="23"/>
          <w:szCs w:val="23"/>
          <w:lang w:eastAsia="pl-PL"/>
        </w:rPr>
        <w:t>Dyrektywy 2001/42/WE Parlamentu Europejskiego i Rady z dnia 27 czerwca 2001 r. w sprawie</w:t>
      </w:r>
      <w:r w:rsidRPr="00325010">
        <w:rPr>
          <w:sz w:val="23"/>
          <w:szCs w:val="23"/>
          <w:lang w:eastAsia="pl-PL"/>
        </w:rPr>
        <w:t xml:space="preserve"> </w:t>
      </w:r>
      <w:r w:rsidRPr="00325010">
        <w:rPr>
          <w:i/>
          <w:iCs/>
          <w:sz w:val="23"/>
          <w:szCs w:val="23"/>
          <w:lang w:eastAsia="pl-PL"/>
        </w:rPr>
        <w:t xml:space="preserve">oceny wpływu niektórych planów i programów na środowisko. </w:t>
      </w:r>
    </w:p>
    <w:p w:rsidR="000F67F1" w:rsidRPr="00325010" w:rsidRDefault="000F67F1" w:rsidP="00325010">
      <w:pPr>
        <w:spacing w:after="0" w:line="360" w:lineRule="auto"/>
        <w:ind w:firstLine="709"/>
        <w:rPr>
          <w:sz w:val="23"/>
          <w:szCs w:val="23"/>
        </w:rPr>
      </w:pPr>
      <w:r w:rsidRPr="00325010">
        <w:rPr>
          <w:sz w:val="23"/>
          <w:szCs w:val="23"/>
        </w:rPr>
        <w:t xml:space="preserve">Na podstawie art. 42 ww. ustawy do przyjętego </w:t>
      </w:r>
      <w:r w:rsidRPr="00BE2BA4">
        <w:rPr>
          <w:sz w:val="23"/>
          <w:szCs w:val="23"/>
        </w:rPr>
        <w:t xml:space="preserve">Uchwałą Nr </w:t>
      </w:r>
      <w:r w:rsidRPr="00BE2BA4">
        <w:t xml:space="preserve">LV/557/2024 </w:t>
      </w:r>
      <w:r w:rsidRPr="00BE2BA4">
        <w:rPr>
          <w:sz w:val="23"/>
          <w:szCs w:val="23"/>
        </w:rPr>
        <w:t xml:space="preserve">Rady Powiatu w Busku-Zdroju </w:t>
      </w:r>
      <w:r w:rsidRPr="00325010">
        <w:rPr>
          <w:sz w:val="23"/>
          <w:szCs w:val="23"/>
        </w:rPr>
        <w:t>z</w:t>
      </w:r>
      <w:r>
        <w:rPr>
          <w:sz w:val="23"/>
          <w:szCs w:val="23"/>
        </w:rPr>
        <w:t> </w:t>
      </w:r>
      <w:r w:rsidRPr="00325010">
        <w:rPr>
          <w:sz w:val="23"/>
          <w:szCs w:val="23"/>
        </w:rPr>
        <w:t>dnia</w:t>
      </w:r>
      <w:r>
        <w:rPr>
          <w:sz w:val="23"/>
          <w:szCs w:val="23"/>
        </w:rPr>
        <w:t xml:space="preserve"> 22 marca</w:t>
      </w:r>
      <w:r w:rsidRPr="00325010">
        <w:rPr>
          <w:sz w:val="23"/>
          <w:szCs w:val="23"/>
        </w:rPr>
        <w:t xml:space="preserve"> 202</w:t>
      </w:r>
      <w:r>
        <w:rPr>
          <w:sz w:val="23"/>
          <w:szCs w:val="23"/>
        </w:rPr>
        <w:t>4</w:t>
      </w:r>
      <w:r w:rsidRPr="00325010">
        <w:rPr>
          <w:sz w:val="23"/>
          <w:szCs w:val="23"/>
        </w:rPr>
        <w:t xml:space="preserve"> r.</w:t>
      </w:r>
      <w:r w:rsidRPr="00325010">
        <w:rPr>
          <w:i/>
          <w:iCs/>
          <w:sz w:val="23"/>
          <w:szCs w:val="23"/>
        </w:rPr>
        <w:t xml:space="preserve"> </w:t>
      </w:r>
      <w:r w:rsidRPr="00325010">
        <w:rPr>
          <w:color w:val="000000"/>
          <w:sz w:val="23"/>
          <w:szCs w:val="23"/>
        </w:rPr>
        <w:t xml:space="preserve">dokumentu pn. </w:t>
      </w:r>
      <w:bookmarkStart w:id="0" w:name="_Hlk161643413"/>
      <w:r w:rsidRPr="00EC526B">
        <w:rPr>
          <w:i/>
          <w:iCs/>
          <w:sz w:val="23"/>
          <w:szCs w:val="23"/>
        </w:rPr>
        <w:t>Strategi</w:t>
      </w:r>
      <w:r>
        <w:rPr>
          <w:i/>
          <w:iCs/>
          <w:sz w:val="23"/>
          <w:szCs w:val="23"/>
        </w:rPr>
        <w:t>a</w:t>
      </w:r>
      <w:r w:rsidRPr="00EC526B">
        <w:rPr>
          <w:i/>
          <w:iCs/>
          <w:sz w:val="23"/>
          <w:szCs w:val="23"/>
        </w:rPr>
        <w:t xml:space="preserve"> Rozwoju Obszaru Strategicznej Interwencji Świętokrzyskie Uzdrowiska na lata 2022–2027</w:t>
      </w:r>
      <w:r w:rsidRPr="00325010">
        <w:rPr>
          <w:i/>
          <w:iCs/>
          <w:sz w:val="23"/>
          <w:szCs w:val="23"/>
        </w:rPr>
        <w:t xml:space="preserve"> </w:t>
      </w:r>
      <w:bookmarkEnd w:id="0"/>
      <w:r w:rsidRPr="00325010">
        <w:rPr>
          <w:sz w:val="23"/>
          <w:szCs w:val="23"/>
        </w:rPr>
        <w:t>załącza się niniejsze uzasadnienie zawierające informacje o udziale społeczeństwa w postępowaniu strategicznej oceny oddziaływania na środowisko.</w:t>
      </w:r>
    </w:p>
    <w:p w:rsidR="000F67F1" w:rsidRPr="00325010" w:rsidRDefault="000F67F1" w:rsidP="00325010">
      <w:pPr>
        <w:spacing w:after="0" w:line="360" w:lineRule="auto"/>
        <w:ind w:firstLine="709"/>
        <w:rPr>
          <w:sz w:val="23"/>
          <w:szCs w:val="23"/>
        </w:rPr>
      </w:pPr>
      <w:r w:rsidRPr="00325010">
        <w:rPr>
          <w:sz w:val="23"/>
          <w:szCs w:val="23"/>
        </w:rPr>
        <w:t xml:space="preserve">Mieszkańcy </w:t>
      </w:r>
      <w:r>
        <w:rPr>
          <w:sz w:val="23"/>
          <w:szCs w:val="23"/>
        </w:rPr>
        <w:t>Obszaru Strategicznej Interwencji Świętokrzyskie Uzdrowiska</w:t>
      </w:r>
      <w:r w:rsidRPr="00325010">
        <w:rPr>
          <w:sz w:val="23"/>
          <w:szCs w:val="23"/>
        </w:rPr>
        <w:t xml:space="preserve"> (</w:t>
      </w:r>
      <w:r>
        <w:rPr>
          <w:sz w:val="23"/>
          <w:szCs w:val="23"/>
        </w:rPr>
        <w:t xml:space="preserve">Powiat Buski, Powiat Kazimierski, </w:t>
      </w:r>
      <w:r w:rsidRPr="00325010">
        <w:rPr>
          <w:sz w:val="23"/>
          <w:szCs w:val="23"/>
        </w:rPr>
        <w:t>Miasto i</w:t>
      </w:r>
      <w:r>
        <w:rPr>
          <w:sz w:val="23"/>
          <w:szCs w:val="23"/>
        </w:rPr>
        <w:t> </w:t>
      </w:r>
      <w:r w:rsidRPr="00325010">
        <w:rPr>
          <w:sz w:val="23"/>
          <w:szCs w:val="23"/>
        </w:rPr>
        <w:t>Gmina Busko-Zdrój</w:t>
      </w:r>
      <w:r>
        <w:rPr>
          <w:sz w:val="23"/>
          <w:szCs w:val="23"/>
        </w:rPr>
        <w:t>, Miasto i Gmina Pińczów, Miasto i Gmina Kazimierza Wielka, Gmina Solec-Zdrój</w:t>
      </w:r>
      <w:r w:rsidRPr="00325010">
        <w:rPr>
          <w:sz w:val="23"/>
          <w:szCs w:val="23"/>
        </w:rPr>
        <w:t xml:space="preserve">) mieli możliwość zapoznania się z projektem dokumentu </w:t>
      </w:r>
      <w:r w:rsidRPr="00EC526B">
        <w:rPr>
          <w:i/>
          <w:iCs/>
          <w:sz w:val="23"/>
          <w:szCs w:val="23"/>
        </w:rPr>
        <w:t>Strategii Rozwoju Obszaru Strategicznej Interwencji Świętokrzyskie Uzdrowiska na lata 2022–2027</w:t>
      </w:r>
      <w:r w:rsidRPr="00325010">
        <w:rPr>
          <w:i/>
          <w:iCs/>
          <w:sz w:val="23"/>
          <w:szCs w:val="23"/>
        </w:rPr>
        <w:t xml:space="preserve"> </w:t>
      </w:r>
      <w:r w:rsidRPr="00325010">
        <w:rPr>
          <w:sz w:val="23"/>
          <w:szCs w:val="23"/>
        </w:rPr>
        <w:t>wraz z</w:t>
      </w:r>
      <w:r w:rsidRPr="00325010">
        <w:rPr>
          <w:i/>
          <w:iCs/>
          <w:sz w:val="23"/>
          <w:szCs w:val="23"/>
        </w:rPr>
        <w:t xml:space="preserve"> </w:t>
      </w:r>
      <w:r w:rsidRPr="00325010">
        <w:rPr>
          <w:sz w:val="23"/>
          <w:szCs w:val="23"/>
        </w:rPr>
        <w:t>prognozą oddziaływania na środowisko</w:t>
      </w:r>
      <w:r w:rsidRPr="00325010">
        <w:rPr>
          <w:i/>
          <w:iCs/>
          <w:sz w:val="23"/>
          <w:szCs w:val="23"/>
        </w:rPr>
        <w:t>.</w:t>
      </w:r>
    </w:p>
    <w:p w:rsidR="000F67F1" w:rsidRDefault="000F67F1" w:rsidP="002E5B22">
      <w:pPr>
        <w:spacing w:after="0" w:line="360" w:lineRule="auto"/>
        <w:ind w:firstLine="709"/>
        <w:rPr>
          <w:sz w:val="23"/>
          <w:szCs w:val="23"/>
        </w:rPr>
      </w:pPr>
      <w:r w:rsidRPr="00325010">
        <w:rPr>
          <w:sz w:val="23"/>
          <w:szCs w:val="23"/>
        </w:rPr>
        <w:t xml:space="preserve">Przed rozpoczęciem konsultacji społecznych, zamieszczono w lokalnej prasie obwieszczenie o wyłożeniu do publicznego wglądu projektu dokumentu </w:t>
      </w:r>
      <w:r w:rsidRPr="00325010">
        <w:rPr>
          <w:i/>
          <w:iCs/>
          <w:sz w:val="23"/>
          <w:szCs w:val="23"/>
        </w:rPr>
        <w:t xml:space="preserve">Prognoza Oddziaływania na Środowisko </w:t>
      </w:r>
      <w:r w:rsidRPr="00EC526B">
        <w:rPr>
          <w:i/>
          <w:iCs/>
          <w:sz w:val="23"/>
          <w:szCs w:val="23"/>
        </w:rPr>
        <w:t>Strategii Rozwoju Obszaru Strategicznej Interwencji Świętokrzyskie Uzdrowiska na lata 2022–2027</w:t>
      </w:r>
      <w:r w:rsidRPr="00325010">
        <w:rPr>
          <w:sz w:val="23"/>
          <w:szCs w:val="23"/>
        </w:rPr>
        <w:t xml:space="preserve">. Projekt dokumentu wraz z prognozą został wyłożony do publicznego wglądu na oficjalnych stronach internetowych </w:t>
      </w:r>
      <w:r w:rsidRPr="002E5B22">
        <w:rPr>
          <w:sz w:val="23"/>
          <w:szCs w:val="23"/>
        </w:rPr>
        <w:t>Urzędu Miasta i Gminy w Busku-Zdroju (umig.busko.pl), Urzędu Miasta i Gminy w Kazimierzy Wielkiej (www.kazimierzawielka.pl/), Urzędu Miejskiego w Pińczowie (www.pinczow.com.pl/), Urzędu Gminy w Solcu-Zdroju (www.solec-zdroj.pl), Starostwa Powiatowego w Busku-Zdroju (www.powiat.busko.pl), Starostwa Powiatowego w</w:t>
      </w:r>
      <w:r>
        <w:rPr>
          <w:sz w:val="23"/>
          <w:szCs w:val="23"/>
        </w:rPr>
        <w:t> </w:t>
      </w:r>
      <w:r w:rsidRPr="002E5B22">
        <w:rPr>
          <w:sz w:val="23"/>
          <w:szCs w:val="23"/>
        </w:rPr>
        <w:t>Kazimierzy Wielkiej (www.powiat.kazimierzaw.pl)</w:t>
      </w:r>
      <w:r w:rsidRPr="00325010">
        <w:rPr>
          <w:sz w:val="23"/>
          <w:szCs w:val="23"/>
        </w:rPr>
        <w:t xml:space="preserve">, na okres 21 dni tj. w dniach </w:t>
      </w:r>
      <w:r w:rsidRPr="00325010">
        <w:rPr>
          <w:b/>
          <w:bCs/>
          <w:sz w:val="23"/>
          <w:szCs w:val="23"/>
        </w:rPr>
        <w:t xml:space="preserve">od </w:t>
      </w:r>
      <w:r>
        <w:rPr>
          <w:b/>
          <w:bCs/>
          <w:sz w:val="23"/>
          <w:szCs w:val="23"/>
        </w:rPr>
        <w:t> </w:t>
      </w:r>
      <w:r w:rsidRPr="00325010">
        <w:rPr>
          <w:b/>
          <w:bCs/>
          <w:sz w:val="23"/>
          <w:szCs w:val="23"/>
        </w:rPr>
        <w:t>0</w:t>
      </w:r>
      <w:r>
        <w:rPr>
          <w:b/>
          <w:bCs/>
          <w:sz w:val="23"/>
          <w:szCs w:val="23"/>
        </w:rPr>
        <w:t>9</w:t>
      </w:r>
      <w:r w:rsidRPr="00325010">
        <w:rPr>
          <w:b/>
          <w:bCs/>
          <w:sz w:val="23"/>
          <w:szCs w:val="23"/>
        </w:rPr>
        <w:t xml:space="preserve">.03.2023 r. do </w:t>
      </w:r>
      <w:r>
        <w:rPr>
          <w:b/>
          <w:bCs/>
          <w:sz w:val="23"/>
          <w:szCs w:val="23"/>
        </w:rPr>
        <w:t>30</w:t>
      </w:r>
      <w:r w:rsidRPr="00325010">
        <w:rPr>
          <w:b/>
          <w:bCs/>
          <w:sz w:val="23"/>
          <w:szCs w:val="23"/>
        </w:rPr>
        <w:t>.03.2023 r.</w:t>
      </w:r>
      <w:r>
        <w:rPr>
          <w:sz w:val="23"/>
          <w:szCs w:val="23"/>
        </w:rPr>
        <w:t xml:space="preserve"> </w:t>
      </w:r>
      <w:r w:rsidRPr="00EC526B">
        <w:rPr>
          <w:color w:val="000000"/>
          <w:sz w:val="23"/>
          <w:szCs w:val="23"/>
        </w:rPr>
        <w:t>Ponadto w lokalnej prasie zamieszczono obwieszczenie przed rozpoczęciem konsultacji z mieszkańcami</w:t>
      </w:r>
      <w:r>
        <w:rPr>
          <w:color w:val="000000"/>
          <w:sz w:val="23"/>
          <w:szCs w:val="23"/>
        </w:rPr>
        <w:t xml:space="preserve">. </w:t>
      </w:r>
      <w:r w:rsidRPr="00325010">
        <w:rPr>
          <w:sz w:val="23"/>
          <w:szCs w:val="23"/>
        </w:rPr>
        <w:t>W ogłoszeniu o skierowaniu projektu dokumentu do konsultacji społecznych wskazano na możliwość składania uwag i wniosków za pomocą formularza zgłaszania uwag w</w:t>
      </w:r>
      <w:r w:rsidRPr="00325010">
        <w:rPr>
          <w:color w:val="FF0000"/>
          <w:sz w:val="23"/>
          <w:szCs w:val="23"/>
        </w:rPr>
        <w:t xml:space="preserve"> </w:t>
      </w:r>
      <w:r w:rsidRPr="00325010">
        <w:rPr>
          <w:color w:val="000000"/>
          <w:sz w:val="23"/>
          <w:szCs w:val="23"/>
        </w:rPr>
        <w:t xml:space="preserve">formie pisemnej, za pośrednictwem poczty tradycyjnej oraz poczty elektronicznej, elektronicznie na skrzynkę podawczą, a także do protokołu w budynkach urzędów. </w:t>
      </w:r>
      <w:r w:rsidRPr="00325010">
        <w:rPr>
          <w:sz w:val="23"/>
          <w:szCs w:val="23"/>
          <w:lang w:eastAsia="pl-PL"/>
        </w:rPr>
        <w:t>Ponadto określono, iż organem właściwym do rozpatrzenia wniesionych uwag i wniosków w</w:t>
      </w:r>
      <w:r>
        <w:rPr>
          <w:sz w:val="23"/>
          <w:szCs w:val="23"/>
          <w:lang w:eastAsia="pl-PL"/>
        </w:rPr>
        <w:t> </w:t>
      </w:r>
      <w:r w:rsidRPr="00325010">
        <w:rPr>
          <w:sz w:val="23"/>
          <w:szCs w:val="23"/>
          <w:lang w:eastAsia="pl-PL"/>
        </w:rPr>
        <w:t xml:space="preserve">ramach konsultacji społecznych jest </w:t>
      </w:r>
      <w:r w:rsidRPr="002E5B22">
        <w:rPr>
          <w:sz w:val="23"/>
          <w:szCs w:val="23"/>
        </w:rPr>
        <w:t>Komitet Sterujący Obszaru Strategicznej Interwencji Świętokrzyskie Uzdrowiska</w:t>
      </w:r>
      <w:r>
        <w:rPr>
          <w:sz w:val="23"/>
          <w:szCs w:val="23"/>
        </w:rPr>
        <w:t>.</w:t>
      </w:r>
    </w:p>
    <w:p w:rsidR="000F67F1" w:rsidRDefault="000F67F1" w:rsidP="002E5B22">
      <w:pPr>
        <w:spacing w:after="0" w:line="360" w:lineRule="auto"/>
        <w:ind w:firstLine="709"/>
      </w:pPr>
      <w:r w:rsidRPr="00B62469">
        <w:t>W trakcie konsultacji społecznych do projektu dokumentu wraz z prognozą wpłynął jeden wypełniony i podpisany formularz zgłaszania uwag. Rejestr uwag wraz z uzasadnieniem ich przyjęcia lub odrzucenia przedstawiono w tabeli 1</w:t>
      </w:r>
      <w:r w:rsidRPr="00E821D5">
        <w:t>.</w:t>
      </w:r>
    </w:p>
    <w:p w:rsidR="000F67F1" w:rsidRDefault="000F67F1" w:rsidP="002E5B22">
      <w:pPr>
        <w:spacing w:after="0" w:line="360" w:lineRule="auto"/>
        <w:ind w:firstLine="709"/>
        <w:rPr>
          <w:sz w:val="23"/>
          <w:szCs w:val="23"/>
        </w:rPr>
        <w:sectPr w:rsidR="000F67F1" w:rsidSect="00331149">
          <w:pgSz w:w="11906" w:h="16838"/>
          <w:pgMar w:top="709" w:right="1417" w:bottom="709" w:left="1417" w:header="1474" w:footer="708" w:gutter="0"/>
          <w:cols w:space="708"/>
          <w:docGrid w:linePitch="360"/>
        </w:sectPr>
      </w:pPr>
    </w:p>
    <w:p w:rsidR="000F67F1" w:rsidRPr="00E821D5" w:rsidRDefault="000F67F1" w:rsidP="00E821D5">
      <w:pPr>
        <w:spacing w:after="0"/>
        <w:ind w:firstLine="709"/>
        <w:jc w:val="center"/>
        <w:rPr>
          <w:b/>
          <w:bCs/>
          <w:sz w:val="20"/>
          <w:szCs w:val="20"/>
        </w:rPr>
      </w:pPr>
      <w:r w:rsidRPr="00E821D5">
        <w:rPr>
          <w:b/>
          <w:bCs/>
          <w:sz w:val="20"/>
          <w:szCs w:val="20"/>
        </w:rPr>
        <w:t xml:space="preserve">Tabela </w:t>
      </w:r>
      <w:r w:rsidRPr="00E821D5">
        <w:rPr>
          <w:b/>
          <w:bCs/>
          <w:sz w:val="20"/>
          <w:szCs w:val="20"/>
        </w:rPr>
        <w:fldChar w:fldCharType="begin"/>
      </w:r>
      <w:r w:rsidRPr="00E821D5">
        <w:rPr>
          <w:b/>
          <w:bCs/>
          <w:sz w:val="20"/>
          <w:szCs w:val="20"/>
        </w:rPr>
        <w:instrText xml:space="preserve"> SEQ Tabela \* ARABIC </w:instrText>
      </w:r>
      <w:r w:rsidRPr="00E821D5">
        <w:rPr>
          <w:b/>
          <w:bCs/>
          <w:sz w:val="20"/>
          <w:szCs w:val="20"/>
        </w:rPr>
        <w:fldChar w:fldCharType="separate"/>
      </w:r>
      <w:r>
        <w:rPr>
          <w:b/>
          <w:bCs/>
          <w:noProof/>
          <w:sz w:val="20"/>
          <w:szCs w:val="20"/>
        </w:rPr>
        <w:t>1</w:t>
      </w:r>
      <w:r w:rsidRPr="00E821D5">
        <w:rPr>
          <w:b/>
          <w:bCs/>
          <w:sz w:val="20"/>
          <w:szCs w:val="20"/>
        </w:rPr>
        <w:fldChar w:fldCharType="end"/>
      </w:r>
      <w:r w:rsidRPr="00E821D5">
        <w:rPr>
          <w:b/>
          <w:bCs/>
          <w:sz w:val="20"/>
          <w:szCs w:val="20"/>
        </w:rPr>
        <w:t xml:space="preserve"> Rejestr uwag z konsultacji społecznych </w:t>
      </w:r>
      <w:r w:rsidRPr="00E821D5">
        <w:rPr>
          <w:b/>
          <w:bCs/>
          <w:i/>
          <w:iCs/>
          <w:sz w:val="20"/>
          <w:szCs w:val="20"/>
        </w:rPr>
        <w:t>Strategii Rozwoju Obszaru Strategicznej Interwencji Świętokrzyskie Uzdrowiska na lata 2022–2027</w:t>
      </w: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
        <w:gridCol w:w="1292"/>
        <w:gridCol w:w="1662"/>
        <w:gridCol w:w="2494"/>
        <w:gridCol w:w="3936"/>
        <w:gridCol w:w="3832"/>
      </w:tblGrid>
      <w:tr w:rsidR="000F67F1" w:rsidRPr="008847B6">
        <w:trPr>
          <w:trHeight w:val="1532"/>
          <w:jc w:val="center"/>
        </w:trPr>
        <w:tc>
          <w:tcPr>
            <w:tcW w:w="459" w:type="dxa"/>
            <w:shd w:val="clear" w:color="auto" w:fill="F2F2F2"/>
            <w:vAlign w:val="center"/>
          </w:tcPr>
          <w:p w:rsidR="000F67F1" w:rsidRPr="00B32F2E" w:rsidRDefault="000F67F1" w:rsidP="00B32F2E">
            <w:pPr>
              <w:ind w:left="-1049"/>
              <w:jc w:val="center"/>
              <w:rPr>
                <w:b/>
                <w:bCs/>
                <w:sz w:val="20"/>
                <w:szCs w:val="20"/>
              </w:rPr>
            </w:pPr>
            <w:r w:rsidRPr="00B32F2E">
              <w:rPr>
                <w:b/>
                <w:bCs/>
                <w:sz w:val="20"/>
                <w:szCs w:val="20"/>
              </w:rPr>
              <w:t>Lp.</w:t>
            </w:r>
          </w:p>
        </w:tc>
        <w:tc>
          <w:tcPr>
            <w:tcW w:w="1292" w:type="dxa"/>
            <w:shd w:val="clear" w:color="auto" w:fill="F2F2F2"/>
            <w:vAlign w:val="center"/>
          </w:tcPr>
          <w:p w:rsidR="000F67F1" w:rsidRPr="00B32F2E" w:rsidRDefault="000F67F1" w:rsidP="00B32F2E">
            <w:pPr>
              <w:jc w:val="center"/>
              <w:rPr>
                <w:b/>
                <w:bCs/>
                <w:sz w:val="20"/>
                <w:szCs w:val="20"/>
              </w:rPr>
            </w:pPr>
            <w:r w:rsidRPr="00B32F2E">
              <w:rPr>
                <w:b/>
                <w:bCs/>
                <w:sz w:val="20"/>
                <w:szCs w:val="20"/>
              </w:rPr>
              <w:t>Zgłaszający</w:t>
            </w:r>
          </w:p>
        </w:tc>
        <w:tc>
          <w:tcPr>
            <w:tcW w:w="1662" w:type="dxa"/>
            <w:shd w:val="clear" w:color="auto" w:fill="F2F2F2"/>
            <w:vAlign w:val="center"/>
          </w:tcPr>
          <w:p w:rsidR="000F67F1" w:rsidRPr="00B32F2E" w:rsidRDefault="000F67F1" w:rsidP="00B32F2E">
            <w:pPr>
              <w:jc w:val="center"/>
              <w:rPr>
                <w:b/>
                <w:bCs/>
                <w:sz w:val="20"/>
                <w:szCs w:val="20"/>
              </w:rPr>
            </w:pPr>
            <w:r w:rsidRPr="00B32F2E">
              <w:rPr>
                <w:b/>
                <w:bCs/>
                <w:sz w:val="20"/>
                <w:szCs w:val="20"/>
              </w:rPr>
              <w:t xml:space="preserve">Część dokumentu do którego odnosi się uwaga </w:t>
            </w:r>
            <w:r w:rsidRPr="00B32F2E">
              <w:rPr>
                <w:b/>
                <w:bCs/>
                <w:sz w:val="20"/>
                <w:szCs w:val="20"/>
              </w:rPr>
              <w:br/>
              <w:t>(rozdział, strona)</w:t>
            </w:r>
          </w:p>
        </w:tc>
        <w:tc>
          <w:tcPr>
            <w:tcW w:w="2494" w:type="dxa"/>
            <w:shd w:val="clear" w:color="auto" w:fill="F2F2F2"/>
            <w:vAlign w:val="center"/>
          </w:tcPr>
          <w:p w:rsidR="000F67F1" w:rsidRPr="00B32F2E" w:rsidRDefault="000F67F1" w:rsidP="00B32F2E">
            <w:pPr>
              <w:tabs>
                <w:tab w:val="left" w:pos="2429"/>
              </w:tabs>
              <w:ind w:firstLine="6"/>
              <w:jc w:val="center"/>
              <w:rPr>
                <w:b/>
                <w:bCs/>
                <w:sz w:val="20"/>
                <w:szCs w:val="20"/>
              </w:rPr>
            </w:pPr>
            <w:r w:rsidRPr="008847B6">
              <w:rPr>
                <w:b/>
                <w:bCs/>
                <w:sz w:val="20"/>
                <w:szCs w:val="20"/>
              </w:rPr>
              <w:t>Obecny zapis</w:t>
            </w:r>
          </w:p>
        </w:tc>
        <w:tc>
          <w:tcPr>
            <w:tcW w:w="3936" w:type="dxa"/>
            <w:shd w:val="clear" w:color="auto" w:fill="F2F2F2"/>
            <w:vAlign w:val="center"/>
          </w:tcPr>
          <w:p w:rsidR="000F67F1" w:rsidRPr="00B32F2E" w:rsidRDefault="000F67F1" w:rsidP="00B32F2E">
            <w:pPr>
              <w:jc w:val="center"/>
              <w:rPr>
                <w:b/>
                <w:bCs/>
                <w:sz w:val="20"/>
                <w:szCs w:val="20"/>
              </w:rPr>
            </w:pPr>
            <w:r w:rsidRPr="00B32F2E">
              <w:rPr>
                <w:b/>
                <w:bCs/>
                <w:sz w:val="20"/>
                <w:szCs w:val="20"/>
              </w:rPr>
              <w:t>Propozycja zmiany z uzasadnieniem</w:t>
            </w:r>
          </w:p>
        </w:tc>
        <w:tc>
          <w:tcPr>
            <w:tcW w:w="3832" w:type="dxa"/>
            <w:shd w:val="clear" w:color="auto" w:fill="F2F2F2"/>
            <w:vAlign w:val="center"/>
          </w:tcPr>
          <w:p w:rsidR="000F67F1" w:rsidRPr="00B32F2E" w:rsidRDefault="000F67F1" w:rsidP="00B32F2E">
            <w:pPr>
              <w:ind w:firstLine="13"/>
              <w:jc w:val="center"/>
              <w:rPr>
                <w:b/>
                <w:bCs/>
                <w:sz w:val="20"/>
                <w:szCs w:val="20"/>
              </w:rPr>
            </w:pPr>
            <w:r w:rsidRPr="00B32F2E">
              <w:rPr>
                <w:b/>
                <w:bCs/>
                <w:sz w:val="20"/>
                <w:szCs w:val="20"/>
              </w:rPr>
              <w:t xml:space="preserve">Stanowisko </w:t>
            </w:r>
            <w:r w:rsidRPr="00B32F2E">
              <w:rPr>
                <w:b/>
                <w:bCs/>
                <w:sz w:val="20"/>
                <w:szCs w:val="20"/>
              </w:rPr>
              <w:br/>
              <w:t>wraz z uzasadnieniem</w:t>
            </w:r>
          </w:p>
        </w:tc>
      </w:tr>
      <w:tr w:rsidR="000F67F1" w:rsidRPr="008847B6">
        <w:trPr>
          <w:trHeight w:val="1532"/>
          <w:jc w:val="center"/>
        </w:trPr>
        <w:tc>
          <w:tcPr>
            <w:tcW w:w="459" w:type="dxa"/>
            <w:vAlign w:val="center"/>
          </w:tcPr>
          <w:p w:rsidR="000F67F1" w:rsidRPr="00B32F2E" w:rsidRDefault="000F67F1" w:rsidP="00B32F2E">
            <w:pPr>
              <w:ind w:left="-1049"/>
              <w:jc w:val="center"/>
              <w:rPr>
                <w:sz w:val="20"/>
                <w:szCs w:val="20"/>
              </w:rPr>
            </w:pPr>
            <w:r w:rsidRPr="008847B6">
              <w:rPr>
                <w:sz w:val="20"/>
                <w:szCs w:val="20"/>
              </w:rPr>
              <w:t>1.</w:t>
            </w:r>
          </w:p>
        </w:tc>
        <w:tc>
          <w:tcPr>
            <w:tcW w:w="1292" w:type="dxa"/>
            <w:vMerge w:val="restart"/>
            <w:vAlign w:val="center"/>
          </w:tcPr>
          <w:p w:rsidR="000F67F1" w:rsidRDefault="000F67F1" w:rsidP="00B32F2E">
            <w:pPr>
              <w:jc w:val="center"/>
              <w:rPr>
                <w:sz w:val="20"/>
                <w:szCs w:val="20"/>
              </w:rPr>
            </w:pPr>
            <w:r w:rsidRPr="00B32F2E">
              <w:rPr>
                <w:sz w:val="20"/>
                <w:szCs w:val="20"/>
              </w:rPr>
              <w:t>Alina Pełka</w:t>
            </w:r>
          </w:p>
          <w:p w:rsidR="000F67F1" w:rsidRPr="00B32F2E" w:rsidRDefault="000F67F1" w:rsidP="00B32F2E">
            <w:pPr>
              <w:jc w:val="center"/>
              <w:rPr>
                <w:sz w:val="20"/>
                <w:szCs w:val="20"/>
              </w:rPr>
            </w:pPr>
            <w:r>
              <w:rPr>
                <w:sz w:val="20"/>
                <w:szCs w:val="20"/>
              </w:rPr>
              <w:t>Urząd Miejski w Pińczowie</w:t>
            </w:r>
          </w:p>
        </w:tc>
        <w:tc>
          <w:tcPr>
            <w:tcW w:w="1662" w:type="dxa"/>
            <w:vAlign w:val="center"/>
          </w:tcPr>
          <w:p w:rsidR="000F67F1" w:rsidRPr="00B32F2E" w:rsidRDefault="000F67F1" w:rsidP="00B32F2E">
            <w:pPr>
              <w:jc w:val="center"/>
              <w:rPr>
                <w:sz w:val="20"/>
                <w:szCs w:val="20"/>
              </w:rPr>
            </w:pPr>
            <w:r w:rsidRPr="008847B6">
              <w:rPr>
                <w:sz w:val="20"/>
                <w:szCs w:val="20"/>
              </w:rPr>
              <w:t>3.1.4</w:t>
            </w:r>
            <w:r w:rsidRPr="008847B6">
              <w:rPr>
                <w:sz w:val="20"/>
                <w:szCs w:val="20"/>
              </w:rPr>
              <w:br/>
            </w:r>
            <w:r w:rsidRPr="00B32F2E">
              <w:rPr>
                <w:sz w:val="20"/>
                <w:szCs w:val="20"/>
              </w:rPr>
              <w:t xml:space="preserve">str. 52 </w:t>
            </w:r>
          </w:p>
        </w:tc>
        <w:tc>
          <w:tcPr>
            <w:tcW w:w="2494" w:type="dxa"/>
            <w:vAlign w:val="center"/>
          </w:tcPr>
          <w:p w:rsidR="000F67F1" w:rsidRPr="008847B6" w:rsidRDefault="000F67F1" w:rsidP="00B32F2E">
            <w:pPr>
              <w:tabs>
                <w:tab w:val="left" w:pos="2429"/>
              </w:tabs>
              <w:ind w:firstLine="6"/>
              <w:jc w:val="center"/>
              <w:rPr>
                <w:sz w:val="20"/>
                <w:szCs w:val="20"/>
              </w:rPr>
            </w:pPr>
            <w:r w:rsidRPr="008847B6">
              <w:rPr>
                <w:sz w:val="20"/>
                <w:szCs w:val="20"/>
              </w:rPr>
              <w:t>W Mieście i Gminie Pińczów w marcu 2023 r. planuje się montaż stacji pomiarowej z wyświetlaniem informacji o stanie powietrza na tablicy budynku Urzędu Miejskiego w Pińczowie i na stronie internetowej gminy.</w:t>
            </w:r>
          </w:p>
        </w:tc>
        <w:tc>
          <w:tcPr>
            <w:tcW w:w="3936" w:type="dxa"/>
            <w:vAlign w:val="center"/>
          </w:tcPr>
          <w:p w:rsidR="000F67F1" w:rsidRPr="008847B6" w:rsidRDefault="000F67F1" w:rsidP="00B32F2E">
            <w:pPr>
              <w:jc w:val="center"/>
              <w:rPr>
                <w:sz w:val="20"/>
                <w:szCs w:val="20"/>
              </w:rPr>
            </w:pPr>
            <w:r w:rsidRPr="008847B6">
              <w:rPr>
                <w:sz w:val="20"/>
                <w:szCs w:val="20"/>
              </w:rPr>
              <w:t>W Mieście i Gminie Pińczów w kwietniu 2023 r. planuje się montaż stacji pomiarowej</w:t>
            </w:r>
            <w:r w:rsidRPr="008847B6">
              <w:rPr>
                <w:sz w:val="20"/>
                <w:szCs w:val="20"/>
              </w:rPr>
              <w:br/>
              <w:t xml:space="preserve"> z wyświetlaniem informacji o stanie powietrza na tablicy </w:t>
            </w:r>
            <w:bookmarkStart w:id="1" w:name="_Hlk131620025"/>
            <w:r w:rsidRPr="008847B6">
              <w:rPr>
                <w:sz w:val="20"/>
                <w:szCs w:val="20"/>
              </w:rPr>
              <w:t>jednego z budynków będących własnością Gminy w Pińczowie i na stronie internetowej gminy.</w:t>
            </w:r>
            <w:bookmarkEnd w:id="1"/>
          </w:p>
        </w:tc>
        <w:tc>
          <w:tcPr>
            <w:tcW w:w="3832" w:type="dxa"/>
            <w:vAlign w:val="center"/>
          </w:tcPr>
          <w:p w:rsidR="000F67F1" w:rsidRPr="00B32F2E" w:rsidRDefault="000F67F1" w:rsidP="00B32F2E">
            <w:pPr>
              <w:jc w:val="center"/>
              <w:rPr>
                <w:sz w:val="20"/>
                <w:szCs w:val="20"/>
                <w:u w:val="single"/>
              </w:rPr>
            </w:pPr>
            <w:r w:rsidRPr="00B32F2E">
              <w:rPr>
                <w:sz w:val="20"/>
                <w:szCs w:val="20"/>
              </w:rPr>
              <w:t xml:space="preserve">Uwaga uwzględniona. Zmieniono zapis </w:t>
            </w:r>
            <w:r w:rsidRPr="00B32F2E">
              <w:rPr>
                <w:sz w:val="20"/>
                <w:szCs w:val="20"/>
              </w:rPr>
              <w:br/>
              <w:t>w dokumencie.</w:t>
            </w:r>
          </w:p>
        </w:tc>
      </w:tr>
      <w:tr w:rsidR="000F67F1" w:rsidRPr="008847B6">
        <w:trPr>
          <w:trHeight w:val="1532"/>
          <w:jc w:val="center"/>
        </w:trPr>
        <w:tc>
          <w:tcPr>
            <w:tcW w:w="459" w:type="dxa"/>
            <w:vMerge w:val="restart"/>
            <w:vAlign w:val="center"/>
          </w:tcPr>
          <w:p w:rsidR="000F67F1" w:rsidRPr="00B32F2E" w:rsidRDefault="000F67F1" w:rsidP="00B32F2E">
            <w:pPr>
              <w:ind w:left="-1049"/>
              <w:jc w:val="center"/>
              <w:rPr>
                <w:b/>
                <w:bCs/>
                <w:sz w:val="20"/>
                <w:szCs w:val="20"/>
              </w:rPr>
            </w:pPr>
            <w:r w:rsidRPr="008847B6">
              <w:rPr>
                <w:b/>
                <w:bCs/>
                <w:sz w:val="20"/>
                <w:szCs w:val="20"/>
              </w:rPr>
              <w:t>2.</w:t>
            </w:r>
          </w:p>
        </w:tc>
        <w:tc>
          <w:tcPr>
            <w:tcW w:w="1292" w:type="dxa"/>
            <w:vMerge/>
            <w:vAlign w:val="center"/>
          </w:tcPr>
          <w:p w:rsidR="000F67F1" w:rsidRPr="00B32F2E" w:rsidRDefault="000F67F1" w:rsidP="00B32F2E">
            <w:pPr>
              <w:jc w:val="center"/>
              <w:rPr>
                <w:b/>
                <w:bCs/>
                <w:sz w:val="20"/>
                <w:szCs w:val="20"/>
              </w:rPr>
            </w:pPr>
          </w:p>
        </w:tc>
        <w:tc>
          <w:tcPr>
            <w:tcW w:w="1662" w:type="dxa"/>
            <w:vAlign w:val="center"/>
          </w:tcPr>
          <w:p w:rsidR="000F67F1" w:rsidRPr="00B32F2E" w:rsidRDefault="000F67F1" w:rsidP="00B32F2E">
            <w:pPr>
              <w:jc w:val="center"/>
              <w:rPr>
                <w:sz w:val="20"/>
                <w:szCs w:val="20"/>
              </w:rPr>
            </w:pPr>
            <w:r w:rsidRPr="008847B6">
              <w:rPr>
                <w:sz w:val="20"/>
                <w:szCs w:val="20"/>
              </w:rPr>
              <w:t>3.1.6</w:t>
            </w:r>
            <w:r w:rsidRPr="008847B6">
              <w:rPr>
                <w:sz w:val="20"/>
                <w:szCs w:val="20"/>
              </w:rPr>
              <w:br/>
            </w:r>
            <w:r w:rsidRPr="00B32F2E">
              <w:rPr>
                <w:sz w:val="20"/>
                <w:szCs w:val="20"/>
              </w:rPr>
              <w:t>str. 66-67</w:t>
            </w:r>
          </w:p>
        </w:tc>
        <w:tc>
          <w:tcPr>
            <w:tcW w:w="2494" w:type="dxa"/>
            <w:vAlign w:val="center"/>
          </w:tcPr>
          <w:p w:rsidR="000F67F1" w:rsidRPr="008847B6" w:rsidRDefault="000F67F1" w:rsidP="00B32F2E">
            <w:pPr>
              <w:tabs>
                <w:tab w:val="left" w:pos="2429"/>
              </w:tabs>
              <w:ind w:firstLine="6"/>
              <w:jc w:val="center"/>
              <w:rPr>
                <w:sz w:val="20"/>
                <w:szCs w:val="20"/>
              </w:rPr>
            </w:pPr>
            <w:r w:rsidRPr="008847B6">
              <w:rPr>
                <w:color w:val="000000"/>
                <w:sz w:val="20"/>
                <w:szCs w:val="20"/>
              </w:rPr>
              <w:t>Strefy ochrony ujęć wód podziemnych</w:t>
            </w:r>
          </w:p>
        </w:tc>
        <w:tc>
          <w:tcPr>
            <w:tcW w:w="3936" w:type="dxa"/>
            <w:vAlign w:val="center"/>
          </w:tcPr>
          <w:p w:rsidR="000F67F1" w:rsidRPr="00B32F2E" w:rsidRDefault="000F67F1" w:rsidP="00B32F2E">
            <w:pPr>
              <w:jc w:val="center"/>
              <w:rPr>
                <w:sz w:val="20"/>
                <w:szCs w:val="20"/>
              </w:rPr>
            </w:pPr>
            <w:r w:rsidRPr="008847B6">
              <w:rPr>
                <w:sz w:val="20"/>
                <w:szCs w:val="20"/>
              </w:rPr>
              <w:t>W treści tego punktu zostały wskazane ujęcia wód podziemnych tylko w Gminie Busko-Zdrój Co z pozostałymi gminami ?</w:t>
            </w:r>
          </w:p>
        </w:tc>
        <w:tc>
          <w:tcPr>
            <w:tcW w:w="3832" w:type="dxa"/>
            <w:vAlign w:val="center"/>
          </w:tcPr>
          <w:p w:rsidR="000F67F1" w:rsidRPr="00B32F2E" w:rsidRDefault="000F67F1" w:rsidP="00B32F2E">
            <w:pPr>
              <w:jc w:val="center"/>
              <w:rPr>
                <w:sz w:val="20"/>
                <w:szCs w:val="20"/>
              </w:rPr>
            </w:pPr>
            <w:r w:rsidRPr="00B32F2E">
              <w:rPr>
                <w:sz w:val="20"/>
                <w:szCs w:val="20"/>
              </w:rPr>
              <w:t>Uwaga uwzględniona. W dokumencie uzupełniono zapisy dotyczące stref ochrony ujęć wód podziemnych znajdujących się na terenie pozostałych gmin OSI ŚU.</w:t>
            </w:r>
          </w:p>
        </w:tc>
      </w:tr>
      <w:tr w:rsidR="000F67F1" w:rsidRPr="008847B6">
        <w:trPr>
          <w:trHeight w:val="1313"/>
          <w:jc w:val="center"/>
        </w:trPr>
        <w:tc>
          <w:tcPr>
            <w:tcW w:w="459" w:type="dxa"/>
            <w:vMerge/>
            <w:vAlign w:val="center"/>
          </w:tcPr>
          <w:p w:rsidR="000F67F1" w:rsidRPr="00B32F2E" w:rsidRDefault="000F67F1" w:rsidP="00B32F2E">
            <w:pPr>
              <w:ind w:left="-1049"/>
              <w:jc w:val="center"/>
              <w:rPr>
                <w:sz w:val="20"/>
                <w:szCs w:val="20"/>
              </w:rPr>
            </w:pPr>
          </w:p>
        </w:tc>
        <w:tc>
          <w:tcPr>
            <w:tcW w:w="1292" w:type="dxa"/>
            <w:vMerge/>
            <w:vAlign w:val="center"/>
          </w:tcPr>
          <w:p w:rsidR="000F67F1" w:rsidRPr="00B32F2E" w:rsidRDefault="000F67F1" w:rsidP="00B32F2E">
            <w:pPr>
              <w:jc w:val="center"/>
              <w:rPr>
                <w:sz w:val="20"/>
                <w:szCs w:val="20"/>
              </w:rPr>
            </w:pPr>
          </w:p>
        </w:tc>
        <w:tc>
          <w:tcPr>
            <w:tcW w:w="1662" w:type="dxa"/>
            <w:vAlign w:val="center"/>
          </w:tcPr>
          <w:p w:rsidR="000F67F1" w:rsidRPr="00B32F2E" w:rsidRDefault="000F67F1" w:rsidP="00B32F2E">
            <w:pPr>
              <w:jc w:val="center"/>
              <w:rPr>
                <w:sz w:val="20"/>
                <w:szCs w:val="20"/>
              </w:rPr>
            </w:pPr>
            <w:r w:rsidRPr="008847B6">
              <w:rPr>
                <w:sz w:val="20"/>
                <w:szCs w:val="20"/>
              </w:rPr>
              <w:t>3.1.6.</w:t>
            </w:r>
            <w:r w:rsidRPr="008847B6">
              <w:rPr>
                <w:sz w:val="20"/>
                <w:szCs w:val="20"/>
              </w:rPr>
              <w:br/>
              <w:t>wody podziemne</w:t>
            </w:r>
            <w:r w:rsidRPr="008847B6">
              <w:rPr>
                <w:sz w:val="20"/>
                <w:szCs w:val="20"/>
              </w:rPr>
              <w:br/>
              <w:t>str. 79-80</w:t>
            </w:r>
          </w:p>
        </w:tc>
        <w:tc>
          <w:tcPr>
            <w:tcW w:w="2494" w:type="dxa"/>
            <w:vAlign w:val="center"/>
          </w:tcPr>
          <w:p w:rsidR="000F67F1" w:rsidRPr="00B32F2E" w:rsidRDefault="000F67F1" w:rsidP="00B32F2E">
            <w:pPr>
              <w:ind w:left="58" w:firstLine="6"/>
              <w:jc w:val="center"/>
              <w:rPr>
                <w:sz w:val="20"/>
                <w:szCs w:val="20"/>
              </w:rPr>
            </w:pPr>
            <w:r w:rsidRPr="00B32F2E">
              <w:rPr>
                <w:sz w:val="20"/>
                <w:szCs w:val="20"/>
              </w:rPr>
              <w:t xml:space="preserve">Lecznictwo uzdrowiskowe </w:t>
            </w:r>
            <w:r w:rsidRPr="00B32F2E">
              <w:rPr>
                <w:sz w:val="20"/>
                <w:szCs w:val="20"/>
              </w:rPr>
              <w:br/>
              <w:t>w Pińczowie będzie opierało się na wykorzystaniu złoża wód siarczkowych „Las Winiarski” oraz właściwości klimatu.</w:t>
            </w:r>
          </w:p>
        </w:tc>
        <w:tc>
          <w:tcPr>
            <w:tcW w:w="3936" w:type="dxa"/>
            <w:vAlign w:val="center"/>
          </w:tcPr>
          <w:p w:rsidR="000F67F1" w:rsidRPr="00B32F2E" w:rsidRDefault="000F67F1" w:rsidP="00B32F2E">
            <w:pPr>
              <w:jc w:val="center"/>
              <w:rPr>
                <w:sz w:val="20"/>
                <w:szCs w:val="20"/>
              </w:rPr>
            </w:pPr>
            <w:r w:rsidRPr="00B32F2E">
              <w:rPr>
                <w:sz w:val="20"/>
                <w:szCs w:val="20"/>
              </w:rPr>
              <w:t>Lecznictwo uzdrowiskowe w Pińczowie będzie opierało się na wykorzystaniu borowiny i wód siarczkowych oraz właściwości klimatu.</w:t>
            </w:r>
          </w:p>
        </w:tc>
        <w:tc>
          <w:tcPr>
            <w:tcW w:w="3832" w:type="dxa"/>
            <w:vAlign w:val="center"/>
          </w:tcPr>
          <w:p w:rsidR="000F67F1" w:rsidRPr="008847B6" w:rsidRDefault="000F67F1" w:rsidP="00B32F2E">
            <w:pPr>
              <w:jc w:val="center"/>
              <w:rPr>
                <w:sz w:val="20"/>
                <w:szCs w:val="20"/>
              </w:rPr>
            </w:pPr>
            <w:r w:rsidRPr="008847B6">
              <w:rPr>
                <w:sz w:val="20"/>
                <w:szCs w:val="20"/>
              </w:rPr>
              <w:t>Uwaga uwzględniona. Zaktualizowano zapis zgodnie ze stanem obecnym.</w:t>
            </w:r>
          </w:p>
        </w:tc>
      </w:tr>
      <w:tr w:rsidR="000F67F1" w:rsidRPr="008847B6">
        <w:trPr>
          <w:trHeight w:val="557"/>
          <w:jc w:val="center"/>
        </w:trPr>
        <w:tc>
          <w:tcPr>
            <w:tcW w:w="459" w:type="dxa"/>
            <w:vAlign w:val="center"/>
          </w:tcPr>
          <w:p w:rsidR="000F67F1" w:rsidRPr="00B32F2E" w:rsidRDefault="000F67F1" w:rsidP="00B32F2E">
            <w:pPr>
              <w:ind w:left="-1049"/>
              <w:jc w:val="center"/>
              <w:rPr>
                <w:sz w:val="20"/>
                <w:szCs w:val="20"/>
              </w:rPr>
            </w:pPr>
            <w:r w:rsidRPr="008847B6">
              <w:rPr>
                <w:sz w:val="20"/>
                <w:szCs w:val="20"/>
              </w:rPr>
              <w:t>3.</w:t>
            </w:r>
          </w:p>
        </w:tc>
        <w:tc>
          <w:tcPr>
            <w:tcW w:w="1292" w:type="dxa"/>
            <w:vMerge/>
            <w:vAlign w:val="center"/>
          </w:tcPr>
          <w:p w:rsidR="000F67F1" w:rsidRPr="00B32F2E" w:rsidRDefault="000F67F1" w:rsidP="00B32F2E">
            <w:pPr>
              <w:jc w:val="center"/>
              <w:rPr>
                <w:sz w:val="20"/>
                <w:szCs w:val="20"/>
              </w:rPr>
            </w:pPr>
          </w:p>
        </w:tc>
        <w:tc>
          <w:tcPr>
            <w:tcW w:w="1662" w:type="dxa"/>
            <w:vAlign w:val="center"/>
          </w:tcPr>
          <w:p w:rsidR="000F67F1" w:rsidRPr="00B32F2E" w:rsidRDefault="000F67F1" w:rsidP="00B32F2E">
            <w:pPr>
              <w:jc w:val="center"/>
              <w:rPr>
                <w:sz w:val="20"/>
                <w:szCs w:val="20"/>
              </w:rPr>
            </w:pPr>
            <w:r w:rsidRPr="00B32F2E">
              <w:rPr>
                <w:sz w:val="20"/>
                <w:szCs w:val="20"/>
              </w:rPr>
              <w:t>3.1.10</w:t>
            </w:r>
            <w:r w:rsidRPr="00B32F2E">
              <w:rPr>
                <w:sz w:val="20"/>
                <w:szCs w:val="20"/>
              </w:rPr>
              <w:br/>
              <w:t>Str. 101</w:t>
            </w:r>
          </w:p>
        </w:tc>
        <w:tc>
          <w:tcPr>
            <w:tcW w:w="2494" w:type="dxa"/>
            <w:vAlign w:val="center"/>
          </w:tcPr>
          <w:p w:rsidR="000F67F1" w:rsidRPr="00B32F2E" w:rsidRDefault="000F67F1" w:rsidP="00B32F2E">
            <w:pPr>
              <w:ind w:firstLine="6"/>
              <w:jc w:val="center"/>
              <w:rPr>
                <w:sz w:val="20"/>
                <w:szCs w:val="20"/>
              </w:rPr>
            </w:pPr>
            <w:r w:rsidRPr="00B32F2E">
              <w:rPr>
                <w:sz w:val="20"/>
                <w:szCs w:val="20"/>
              </w:rPr>
              <w:t xml:space="preserve">Uznany został 08.08. 1956 r. Obszar ten ma ustanowiony plan ochrony zgodnie </w:t>
            </w:r>
            <w:r w:rsidRPr="00B32F2E">
              <w:rPr>
                <w:sz w:val="20"/>
                <w:szCs w:val="20"/>
              </w:rPr>
              <w:br/>
              <w:t>z Rozporządzeniem Wojewody Świętokrzyskiego Nr 57/2002 z dnia 18 listopada 2002 rNadzór nad rezerwatem sprawuje Regionalny Konserwator Przyrody w Kielcach</w:t>
            </w:r>
          </w:p>
        </w:tc>
        <w:tc>
          <w:tcPr>
            <w:tcW w:w="3936" w:type="dxa"/>
            <w:vAlign w:val="center"/>
          </w:tcPr>
          <w:p w:rsidR="000F67F1" w:rsidRPr="008847B6" w:rsidRDefault="000F67F1" w:rsidP="00B32F2E">
            <w:pPr>
              <w:jc w:val="center"/>
              <w:rPr>
                <w:sz w:val="20"/>
                <w:szCs w:val="20"/>
              </w:rPr>
            </w:pPr>
            <w:r w:rsidRPr="008847B6">
              <w:rPr>
                <w:sz w:val="20"/>
                <w:szCs w:val="20"/>
              </w:rPr>
              <w:t xml:space="preserve">Uznany został 08.08. 1956 r. Obszar ten ma ustanowiony plan ochrony zgodnie </w:t>
            </w:r>
            <w:r w:rsidRPr="008847B6">
              <w:rPr>
                <w:sz w:val="20"/>
                <w:szCs w:val="20"/>
              </w:rPr>
              <w:br/>
              <w:t xml:space="preserve">z Rozporządzeniem Wojewody Świętokrzyskiego Nr 57/2002 z dnia 18 listopada 2002 r.. Nadzór nad rezerwatem sprawuje Regionalny Konserwator Przyrody </w:t>
            </w:r>
            <w:r w:rsidRPr="008847B6">
              <w:rPr>
                <w:sz w:val="20"/>
                <w:szCs w:val="20"/>
              </w:rPr>
              <w:br/>
              <w:t>w Kielcach</w:t>
            </w:r>
          </w:p>
        </w:tc>
        <w:tc>
          <w:tcPr>
            <w:tcW w:w="3832" w:type="dxa"/>
            <w:vAlign w:val="center"/>
          </w:tcPr>
          <w:p w:rsidR="000F67F1" w:rsidRPr="008847B6" w:rsidRDefault="000F67F1" w:rsidP="00B32F2E">
            <w:pPr>
              <w:jc w:val="center"/>
              <w:rPr>
                <w:sz w:val="20"/>
                <w:szCs w:val="20"/>
              </w:rPr>
            </w:pPr>
            <w:r w:rsidRPr="008847B6">
              <w:rPr>
                <w:sz w:val="20"/>
                <w:szCs w:val="20"/>
              </w:rPr>
              <w:t>Uwaga uwzględniona. Naniesiono korektę omyłki pisarskiej.</w:t>
            </w:r>
          </w:p>
        </w:tc>
      </w:tr>
      <w:tr w:rsidR="000F67F1" w:rsidRPr="008847B6">
        <w:trPr>
          <w:trHeight w:val="1313"/>
          <w:jc w:val="center"/>
        </w:trPr>
        <w:tc>
          <w:tcPr>
            <w:tcW w:w="459" w:type="dxa"/>
            <w:vAlign w:val="center"/>
          </w:tcPr>
          <w:p w:rsidR="000F67F1" w:rsidRPr="00B32F2E" w:rsidRDefault="000F67F1" w:rsidP="00B32F2E">
            <w:pPr>
              <w:ind w:left="-1049"/>
              <w:jc w:val="center"/>
              <w:rPr>
                <w:sz w:val="20"/>
                <w:szCs w:val="20"/>
              </w:rPr>
            </w:pPr>
            <w:r w:rsidRPr="008847B6">
              <w:rPr>
                <w:sz w:val="20"/>
                <w:szCs w:val="20"/>
              </w:rPr>
              <w:t>4.</w:t>
            </w:r>
          </w:p>
        </w:tc>
        <w:tc>
          <w:tcPr>
            <w:tcW w:w="1292" w:type="dxa"/>
            <w:vMerge/>
            <w:vAlign w:val="center"/>
          </w:tcPr>
          <w:p w:rsidR="000F67F1" w:rsidRPr="00B32F2E" w:rsidRDefault="000F67F1" w:rsidP="00B32F2E">
            <w:pPr>
              <w:jc w:val="center"/>
              <w:rPr>
                <w:sz w:val="20"/>
                <w:szCs w:val="20"/>
              </w:rPr>
            </w:pPr>
          </w:p>
        </w:tc>
        <w:tc>
          <w:tcPr>
            <w:tcW w:w="1662" w:type="dxa"/>
            <w:vAlign w:val="center"/>
          </w:tcPr>
          <w:p w:rsidR="000F67F1" w:rsidRPr="00B32F2E" w:rsidRDefault="000F67F1" w:rsidP="00B32F2E">
            <w:pPr>
              <w:jc w:val="center"/>
              <w:rPr>
                <w:sz w:val="20"/>
                <w:szCs w:val="20"/>
              </w:rPr>
            </w:pPr>
            <w:r w:rsidRPr="00B32F2E">
              <w:rPr>
                <w:sz w:val="20"/>
                <w:szCs w:val="20"/>
              </w:rPr>
              <w:t>3.1.11</w:t>
            </w:r>
            <w:r w:rsidRPr="00B32F2E">
              <w:rPr>
                <w:sz w:val="20"/>
                <w:szCs w:val="20"/>
              </w:rPr>
              <w:br/>
              <w:t>Str. 120</w:t>
            </w:r>
          </w:p>
        </w:tc>
        <w:tc>
          <w:tcPr>
            <w:tcW w:w="2494" w:type="dxa"/>
            <w:vAlign w:val="center"/>
          </w:tcPr>
          <w:p w:rsidR="000F67F1" w:rsidRPr="00B32F2E" w:rsidRDefault="000F67F1" w:rsidP="00B32F2E">
            <w:pPr>
              <w:ind w:firstLine="6"/>
              <w:jc w:val="center"/>
              <w:rPr>
                <w:sz w:val="20"/>
                <w:szCs w:val="20"/>
              </w:rPr>
            </w:pPr>
            <w:r w:rsidRPr="008847B6">
              <w:rPr>
                <w:sz w:val="20"/>
                <w:szCs w:val="20"/>
              </w:rPr>
              <w:t xml:space="preserve">Planowany obszar ochrony uzdrowiskowej </w:t>
            </w:r>
            <w:r w:rsidRPr="008847B6">
              <w:rPr>
                <w:sz w:val="20"/>
                <w:szCs w:val="20"/>
              </w:rPr>
              <w:br/>
              <w:t xml:space="preserve">o powierzchni 1 360,38 ha będzie zlokalizowany </w:t>
            </w:r>
            <w:r w:rsidRPr="008847B6">
              <w:rPr>
                <w:sz w:val="20"/>
                <w:szCs w:val="20"/>
              </w:rPr>
              <w:br/>
              <w:t>w Pińczowie w granicach obrębu geodezyjnego sołectwa Pasturka. Strefa „A” obejmuje 55,8 ha, tereny zieleni wynoszą 51,2 ha. Obszar ten przeznaczono pod budowę m.in. obiektów sanatoryjnych, parku zdrojowego czy np. pijalni wód. Natomiast strefa „B” to 318,7 ha, a tereny zieleni wynoszą 281,02 ha.</w:t>
            </w:r>
          </w:p>
        </w:tc>
        <w:tc>
          <w:tcPr>
            <w:tcW w:w="39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F67F1" w:rsidRPr="00B32F2E" w:rsidRDefault="000F67F1" w:rsidP="00B32F2E">
            <w:pPr>
              <w:jc w:val="center"/>
              <w:rPr>
                <w:sz w:val="20"/>
                <w:szCs w:val="20"/>
              </w:rPr>
            </w:pPr>
            <w:r w:rsidRPr="008847B6">
              <w:rPr>
                <w:sz w:val="20"/>
                <w:szCs w:val="20"/>
              </w:rPr>
              <w:t xml:space="preserve">Planowany obszar ochrony uzdrowiskowej </w:t>
            </w:r>
            <w:r w:rsidRPr="008847B6">
              <w:rPr>
                <w:sz w:val="20"/>
                <w:szCs w:val="20"/>
              </w:rPr>
              <w:br/>
              <w:t xml:space="preserve">o powierzchni 2 414,35 ha będzie zlokalizowany w  części miasta Pińczów (Osiedle Zdrojowe), </w:t>
            </w:r>
            <w:bookmarkStart w:id="2" w:name="_Hlk131623792"/>
            <w:r w:rsidRPr="008847B6">
              <w:rPr>
                <w:sz w:val="20"/>
                <w:szCs w:val="20"/>
              </w:rPr>
              <w:t>części sołectwa Włochy (Osiedle Górki – Włochy), sołectwa Pasturka, sołectwa Bogucice Drugie i sołectwa Grochowiska. Strefa „A” obejmuje obszar 51,37 ha, tereny zieleni wynoszą 48,45 ha, a ich udział – 94,32%. Obszar ten przeznaczono pod budowę m.in. obiektów sanatoryjnych, parku zdrojowego czy np. pijalni wód</w:t>
            </w:r>
            <w:bookmarkEnd w:id="2"/>
          </w:p>
        </w:tc>
        <w:tc>
          <w:tcPr>
            <w:tcW w:w="3832" w:type="dxa"/>
            <w:vAlign w:val="center"/>
          </w:tcPr>
          <w:p w:rsidR="000F67F1" w:rsidRPr="008847B6" w:rsidRDefault="000F67F1" w:rsidP="00B32F2E">
            <w:pPr>
              <w:jc w:val="center"/>
              <w:rPr>
                <w:sz w:val="20"/>
                <w:szCs w:val="20"/>
              </w:rPr>
            </w:pPr>
            <w:r w:rsidRPr="008847B6">
              <w:rPr>
                <w:sz w:val="20"/>
                <w:szCs w:val="20"/>
              </w:rPr>
              <w:t xml:space="preserve">Uwaga uwzględniona. Naniesiono korektę cytowanej treści Prognozy zgodnie z opisem planowanego obszaru ochrony uzdrowiskowej zawartym w </w:t>
            </w:r>
            <w:r w:rsidRPr="008847B6">
              <w:rPr>
                <w:i/>
                <w:iCs/>
                <w:sz w:val="20"/>
                <w:szCs w:val="20"/>
              </w:rPr>
              <w:t>Strategii Rozwoju Miasta i Gminy Pińczów na lata 2022–2030</w:t>
            </w:r>
          </w:p>
        </w:tc>
      </w:tr>
      <w:tr w:rsidR="000F67F1" w:rsidRPr="008847B6">
        <w:trPr>
          <w:trHeight w:val="58"/>
          <w:jc w:val="center"/>
        </w:trPr>
        <w:tc>
          <w:tcPr>
            <w:tcW w:w="459" w:type="dxa"/>
            <w:vAlign w:val="center"/>
          </w:tcPr>
          <w:p w:rsidR="000F67F1" w:rsidRPr="00B32F2E" w:rsidRDefault="000F67F1" w:rsidP="00B32F2E">
            <w:pPr>
              <w:ind w:left="-1049"/>
              <w:jc w:val="center"/>
              <w:rPr>
                <w:sz w:val="20"/>
                <w:szCs w:val="20"/>
              </w:rPr>
            </w:pPr>
            <w:r w:rsidRPr="008847B6">
              <w:rPr>
                <w:sz w:val="20"/>
                <w:szCs w:val="20"/>
              </w:rPr>
              <w:t>5.</w:t>
            </w:r>
          </w:p>
        </w:tc>
        <w:tc>
          <w:tcPr>
            <w:tcW w:w="1292" w:type="dxa"/>
            <w:vMerge/>
            <w:vAlign w:val="center"/>
          </w:tcPr>
          <w:p w:rsidR="000F67F1" w:rsidRPr="00B32F2E" w:rsidRDefault="000F67F1" w:rsidP="00B32F2E">
            <w:pPr>
              <w:jc w:val="center"/>
              <w:rPr>
                <w:sz w:val="20"/>
                <w:szCs w:val="20"/>
              </w:rPr>
            </w:pPr>
          </w:p>
        </w:tc>
        <w:tc>
          <w:tcPr>
            <w:tcW w:w="1662" w:type="dxa"/>
            <w:vAlign w:val="center"/>
          </w:tcPr>
          <w:p w:rsidR="000F67F1" w:rsidRPr="00B32F2E" w:rsidRDefault="000F67F1" w:rsidP="00B32F2E">
            <w:pPr>
              <w:jc w:val="center"/>
              <w:rPr>
                <w:sz w:val="20"/>
                <w:szCs w:val="20"/>
              </w:rPr>
            </w:pPr>
            <w:r w:rsidRPr="00B32F2E">
              <w:rPr>
                <w:sz w:val="20"/>
                <w:szCs w:val="20"/>
              </w:rPr>
              <w:t>3.1.10</w:t>
            </w:r>
            <w:r w:rsidRPr="00B32F2E">
              <w:rPr>
                <w:sz w:val="20"/>
                <w:szCs w:val="20"/>
              </w:rPr>
              <w:br/>
              <w:t>Tabela nr 4 Pomniki przyrody na terenie OSI ŚU</w:t>
            </w:r>
            <w:r w:rsidRPr="00B32F2E">
              <w:rPr>
                <w:sz w:val="20"/>
                <w:szCs w:val="20"/>
              </w:rPr>
              <w:br/>
              <w:t>str. 110</w:t>
            </w:r>
          </w:p>
        </w:tc>
        <w:tc>
          <w:tcPr>
            <w:tcW w:w="2494" w:type="dxa"/>
            <w:vAlign w:val="center"/>
          </w:tcPr>
          <w:p w:rsidR="000F67F1" w:rsidRPr="00B32F2E" w:rsidRDefault="000F67F1" w:rsidP="00B32F2E">
            <w:pPr>
              <w:spacing w:after="0"/>
              <w:ind w:firstLine="6"/>
              <w:jc w:val="left"/>
              <w:rPr>
                <w:sz w:val="20"/>
                <w:szCs w:val="20"/>
              </w:rPr>
            </w:pPr>
            <w:r w:rsidRPr="00B32F2E">
              <w:rPr>
                <w:sz w:val="20"/>
                <w:szCs w:val="20"/>
              </w:rPr>
              <w:t>20. jaskinia  Jednoobiektowy</w:t>
            </w:r>
          </w:p>
          <w:p w:rsidR="000F67F1" w:rsidRPr="00B32F2E" w:rsidRDefault="000F67F1" w:rsidP="00B32F2E">
            <w:pPr>
              <w:ind w:firstLine="6"/>
              <w:jc w:val="left"/>
              <w:rPr>
                <w:sz w:val="20"/>
                <w:szCs w:val="20"/>
              </w:rPr>
            </w:pPr>
            <w:r w:rsidRPr="00B32F2E">
              <w:rPr>
                <w:sz w:val="20"/>
                <w:szCs w:val="20"/>
              </w:rPr>
              <w:t>14.01.1996 Wola Zagojska</w:t>
            </w:r>
          </w:p>
        </w:tc>
        <w:tc>
          <w:tcPr>
            <w:tcW w:w="39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F67F1" w:rsidRPr="00B32F2E" w:rsidRDefault="000F67F1" w:rsidP="00B32F2E">
            <w:pPr>
              <w:jc w:val="center"/>
              <w:rPr>
                <w:sz w:val="20"/>
                <w:szCs w:val="20"/>
              </w:rPr>
            </w:pPr>
            <w:r w:rsidRPr="008847B6">
              <w:rPr>
                <w:sz w:val="20"/>
                <w:szCs w:val="20"/>
              </w:rPr>
              <w:t>Nie ma takiego pomnika przyrody na terenie Gminy Pińczów</w:t>
            </w:r>
          </w:p>
        </w:tc>
        <w:tc>
          <w:tcPr>
            <w:tcW w:w="3832" w:type="dxa"/>
            <w:vAlign w:val="center"/>
          </w:tcPr>
          <w:p w:rsidR="000F67F1" w:rsidRPr="008847B6" w:rsidRDefault="000F67F1" w:rsidP="00B32F2E">
            <w:pPr>
              <w:jc w:val="center"/>
              <w:rPr>
                <w:sz w:val="20"/>
                <w:szCs w:val="20"/>
              </w:rPr>
            </w:pPr>
            <w:r w:rsidRPr="008847B6">
              <w:rPr>
                <w:sz w:val="20"/>
                <w:szCs w:val="20"/>
              </w:rPr>
              <w:t>Uwaga nieuwzględniona.</w:t>
            </w:r>
            <w:r w:rsidRPr="008847B6">
              <w:rPr>
                <w:sz w:val="20"/>
                <w:szCs w:val="20"/>
              </w:rPr>
              <w:br/>
              <w:t>Zgodnie z Centralnym Rejestrem Form Ochrony Przyrody na terenie Miasta i Gminy Pińczów znajduję się wspomniany pomnik przyrody.</w:t>
            </w:r>
          </w:p>
          <w:p w:rsidR="000F67F1" w:rsidRPr="008847B6" w:rsidRDefault="000F67F1" w:rsidP="00B32F2E">
            <w:pPr>
              <w:jc w:val="center"/>
              <w:rPr>
                <w:sz w:val="20"/>
                <w:szCs w:val="20"/>
              </w:rPr>
            </w:pPr>
            <w:hyperlink r:id="rId7" w:history="1">
              <w:r w:rsidRPr="008847B6">
                <w:rPr>
                  <w:color w:val="0000FF"/>
                  <w:sz w:val="20"/>
                  <w:szCs w:val="20"/>
                  <w:u w:val="single"/>
                </w:rPr>
                <w:t>link do pomnika przyrody</w:t>
              </w:r>
            </w:hyperlink>
          </w:p>
        </w:tc>
      </w:tr>
      <w:tr w:rsidR="000F67F1" w:rsidRPr="008847B6">
        <w:trPr>
          <w:trHeight w:val="1313"/>
          <w:jc w:val="center"/>
        </w:trPr>
        <w:tc>
          <w:tcPr>
            <w:tcW w:w="459" w:type="dxa"/>
            <w:vAlign w:val="center"/>
          </w:tcPr>
          <w:p w:rsidR="000F67F1" w:rsidRPr="00B32F2E" w:rsidRDefault="000F67F1" w:rsidP="00B32F2E">
            <w:pPr>
              <w:ind w:left="-1049"/>
              <w:jc w:val="center"/>
              <w:rPr>
                <w:sz w:val="20"/>
                <w:szCs w:val="20"/>
              </w:rPr>
            </w:pPr>
            <w:r w:rsidRPr="008847B6">
              <w:rPr>
                <w:sz w:val="20"/>
                <w:szCs w:val="20"/>
              </w:rPr>
              <w:t>6.</w:t>
            </w:r>
          </w:p>
        </w:tc>
        <w:tc>
          <w:tcPr>
            <w:tcW w:w="1292" w:type="dxa"/>
            <w:vMerge/>
            <w:vAlign w:val="center"/>
          </w:tcPr>
          <w:p w:rsidR="000F67F1" w:rsidRPr="00B32F2E" w:rsidRDefault="000F67F1" w:rsidP="00B32F2E">
            <w:pPr>
              <w:jc w:val="center"/>
              <w:rPr>
                <w:sz w:val="20"/>
                <w:szCs w:val="20"/>
              </w:rPr>
            </w:pPr>
          </w:p>
        </w:tc>
        <w:tc>
          <w:tcPr>
            <w:tcW w:w="1662" w:type="dxa"/>
            <w:vAlign w:val="center"/>
          </w:tcPr>
          <w:p w:rsidR="000F67F1" w:rsidRPr="00B32F2E" w:rsidRDefault="000F67F1" w:rsidP="00B32F2E">
            <w:pPr>
              <w:jc w:val="center"/>
              <w:rPr>
                <w:sz w:val="20"/>
                <w:szCs w:val="20"/>
              </w:rPr>
            </w:pPr>
            <w:r w:rsidRPr="00B32F2E">
              <w:rPr>
                <w:sz w:val="20"/>
                <w:szCs w:val="20"/>
              </w:rPr>
              <w:t>3.2</w:t>
            </w:r>
            <w:r w:rsidRPr="00B32F2E">
              <w:rPr>
                <w:sz w:val="20"/>
                <w:szCs w:val="20"/>
              </w:rPr>
              <w:br/>
              <w:t>str. 127</w:t>
            </w:r>
          </w:p>
        </w:tc>
        <w:tc>
          <w:tcPr>
            <w:tcW w:w="2494" w:type="dxa"/>
            <w:vAlign w:val="center"/>
          </w:tcPr>
          <w:p w:rsidR="000F67F1" w:rsidRPr="00B32F2E" w:rsidRDefault="000F67F1" w:rsidP="00B32F2E">
            <w:pPr>
              <w:ind w:firstLine="6"/>
              <w:jc w:val="left"/>
              <w:rPr>
                <w:sz w:val="20"/>
                <w:szCs w:val="20"/>
              </w:rPr>
            </w:pPr>
            <w:r w:rsidRPr="00B32F2E">
              <w:rPr>
                <w:sz w:val="20"/>
                <w:szCs w:val="20"/>
              </w:rPr>
              <w:t>ziem</w:t>
            </w:r>
          </w:p>
        </w:tc>
        <w:tc>
          <w:tcPr>
            <w:tcW w:w="3936" w:type="dxa"/>
            <w:vAlign w:val="center"/>
          </w:tcPr>
          <w:p w:rsidR="000F67F1" w:rsidRPr="00B32F2E" w:rsidRDefault="000F67F1" w:rsidP="00B32F2E">
            <w:pPr>
              <w:jc w:val="left"/>
              <w:rPr>
                <w:sz w:val="20"/>
                <w:szCs w:val="20"/>
              </w:rPr>
            </w:pPr>
            <w:r w:rsidRPr="00B32F2E">
              <w:rPr>
                <w:sz w:val="20"/>
                <w:szCs w:val="20"/>
              </w:rPr>
              <w:t>ziemi</w:t>
            </w:r>
          </w:p>
        </w:tc>
        <w:tc>
          <w:tcPr>
            <w:tcW w:w="3832" w:type="dxa"/>
            <w:vAlign w:val="center"/>
          </w:tcPr>
          <w:p w:rsidR="000F67F1" w:rsidRPr="00B32F2E" w:rsidRDefault="000F67F1" w:rsidP="00B32F2E">
            <w:pPr>
              <w:jc w:val="center"/>
              <w:rPr>
                <w:sz w:val="20"/>
                <w:szCs w:val="20"/>
              </w:rPr>
            </w:pPr>
            <w:r w:rsidRPr="00B32F2E">
              <w:rPr>
                <w:sz w:val="20"/>
                <w:szCs w:val="20"/>
              </w:rPr>
              <w:t>Uwaga uwzględniona. Naniesiono korektę omyłki pisarskiej.</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r w:rsidRPr="008847B6">
              <w:rPr>
                <w:sz w:val="20"/>
                <w:szCs w:val="20"/>
              </w:rPr>
              <w:t>7.</w:t>
            </w:r>
          </w:p>
        </w:tc>
        <w:tc>
          <w:tcPr>
            <w:tcW w:w="1292" w:type="dxa"/>
            <w:vMerge/>
            <w:vAlign w:val="center"/>
          </w:tcPr>
          <w:p w:rsidR="000F67F1" w:rsidRPr="008847B6" w:rsidRDefault="000F67F1" w:rsidP="00B32F2E">
            <w:pPr>
              <w:jc w:val="center"/>
              <w:rPr>
                <w:sz w:val="20"/>
                <w:szCs w:val="20"/>
              </w:rPr>
            </w:pPr>
          </w:p>
        </w:tc>
        <w:tc>
          <w:tcPr>
            <w:tcW w:w="1662" w:type="dxa"/>
            <w:vAlign w:val="center"/>
          </w:tcPr>
          <w:p w:rsidR="000F67F1" w:rsidRPr="008847B6" w:rsidRDefault="000F67F1" w:rsidP="00B32F2E">
            <w:pPr>
              <w:jc w:val="center"/>
              <w:rPr>
                <w:sz w:val="20"/>
                <w:szCs w:val="20"/>
              </w:rPr>
            </w:pPr>
            <w:r w:rsidRPr="008847B6">
              <w:rPr>
                <w:sz w:val="20"/>
                <w:szCs w:val="20"/>
              </w:rPr>
              <w:t xml:space="preserve">4 </w:t>
            </w:r>
            <w:r w:rsidRPr="008847B6">
              <w:rPr>
                <w:sz w:val="20"/>
                <w:szCs w:val="20"/>
              </w:rPr>
              <w:br/>
              <w:t>str. 136</w:t>
            </w:r>
          </w:p>
        </w:tc>
        <w:tc>
          <w:tcPr>
            <w:tcW w:w="2494" w:type="dxa"/>
            <w:vAlign w:val="center"/>
          </w:tcPr>
          <w:p w:rsidR="000F67F1" w:rsidRPr="008847B6" w:rsidRDefault="000F67F1" w:rsidP="00B32F2E">
            <w:pPr>
              <w:ind w:firstLine="6"/>
              <w:jc w:val="left"/>
              <w:rPr>
                <w:sz w:val="20"/>
                <w:szCs w:val="20"/>
              </w:rPr>
            </w:pPr>
          </w:p>
        </w:tc>
        <w:tc>
          <w:tcPr>
            <w:tcW w:w="39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F67F1" w:rsidRPr="008847B6" w:rsidRDefault="000F67F1" w:rsidP="00B32F2E">
            <w:pPr>
              <w:jc w:val="center"/>
              <w:rPr>
                <w:sz w:val="20"/>
                <w:szCs w:val="20"/>
              </w:rPr>
            </w:pPr>
            <w:r w:rsidRPr="008847B6">
              <w:rPr>
                <w:sz w:val="20"/>
                <w:szCs w:val="20"/>
              </w:rPr>
              <w:t>Brak określenia oddziaływań dla zadania pn. Bulwary nad Nidą w Pińczowie. W mojej ocenie zagospodarowanie międzywala, budowa przystani ze slipem będą miały wpływ na wody, bioróżnorodność, krajobraz, obszary chronione w tym Natura 2000. Trudno określić, czy będzie to wpływ pozytywny czy negatywny ale wpływ będzie na pewno.</w:t>
            </w:r>
          </w:p>
        </w:tc>
        <w:tc>
          <w:tcPr>
            <w:tcW w:w="3832" w:type="dxa"/>
            <w:vAlign w:val="center"/>
          </w:tcPr>
          <w:p w:rsidR="000F67F1" w:rsidRPr="008847B6" w:rsidRDefault="000F67F1" w:rsidP="00B32F2E">
            <w:pPr>
              <w:jc w:val="center"/>
              <w:rPr>
                <w:sz w:val="20"/>
                <w:szCs w:val="20"/>
              </w:rPr>
            </w:pPr>
            <w:r w:rsidRPr="008847B6">
              <w:rPr>
                <w:sz w:val="20"/>
                <w:szCs w:val="20"/>
              </w:rPr>
              <w:t xml:space="preserve">Uwaga nieuwzględniona. </w:t>
            </w:r>
            <w:r w:rsidRPr="008847B6">
              <w:rPr>
                <w:sz w:val="20"/>
                <w:szCs w:val="20"/>
              </w:rPr>
              <w:br/>
              <w:t xml:space="preserve">Zadanie pn. Bulwary nad Nidą w Pińczowie </w:t>
            </w:r>
            <w:r w:rsidRPr="008847B6">
              <w:rPr>
                <w:sz w:val="20"/>
                <w:szCs w:val="20"/>
              </w:rPr>
              <w:br/>
              <w:t xml:space="preserve">w Strategii zostało zaliczone do działań organizacyjnych, nie inwestycyjnych. Opracowanie dokumentacji technicznej oraz opracowanie dokumentacji na cele określenia szczegółowych parametrów i zakresu prac związanych z ingerencją w koryto rzeczne oraz dolinę rzeczną, w tym siedliska gatunków podlegające ochronie nie podlega ocenie oddziaływania na środowisko –zadanie nieinwestycyjne nieoddziałujące na żadne </w:t>
            </w:r>
            <w:r w:rsidRPr="008847B6">
              <w:rPr>
                <w:sz w:val="20"/>
                <w:szCs w:val="20"/>
              </w:rPr>
              <w:br/>
              <w:t>z komponentów.</w:t>
            </w:r>
          </w:p>
        </w:tc>
      </w:tr>
      <w:tr w:rsidR="000F67F1" w:rsidRPr="008847B6">
        <w:trPr>
          <w:trHeight w:val="424"/>
          <w:jc w:val="center"/>
        </w:trPr>
        <w:tc>
          <w:tcPr>
            <w:tcW w:w="459" w:type="dxa"/>
            <w:vAlign w:val="center"/>
          </w:tcPr>
          <w:p w:rsidR="000F67F1" w:rsidRPr="008847B6" w:rsidRDefault="000F67F1" w:rsidP="00B32F2E">
            <w:pPr>
              <w:ind w:left="-1049"/>
              <w:jc w:val="center"/>
              <w:rPr>
                <w:sz w:val="20"/>
                <w:szCs w:val="20"/>
              </w:rPr>
            </w:pPr>
            <w:r w:rsidRPr="008847B6">
              <w:rPr>
                <w:sz w:val="20"/>
                <w:szCs w:val="20"/>
              </w:rPr>
              <w:t>8.</w:t>
            </w:r>
          </w:p>
        </w:tc>
        <w:tc>
          <w:tcPr>
            <w:tcW w:w="1292" w:type="dxa"/>
            <w:vMerge/>
            <w:vAlign w:val="center"/>
          </w:tcPr>
          <w:p w:rsidR="000F67F1" w:rsidRPr="008847B6" w:rsidRDefault="000F67F1" w:rsidP="00B32F2E">
            <w:pPr>
              <w:jc w:val="center"/>
              <w:rPr>
                <w:sz w:val="20"/>
                <w:szCs w:val="20"/>
              </w:rPr>
            </w:pPr>
          </w:p>
        </w:tc>
        <w:tc>
          <w:tcPr>
            <w:tcW w:w="1662" w:type="dxa"/>
            <w:vAlign w:val="center"/>
          </w:tcPr>
          <w:p w:rsidR="000F67F1" w:rsidRPr="008847B6" w:rsidRDefault="000F67F1" w:rsidP="00B32F2E">
            <w:pPr>
              <w:jc w:val="center"/>
              <w:rPr>
                <w:sz w:val="20"/>
                <w:szCs w:val="20"/>
              </w:rPr>
            </w:pPr>
            <w:r w:rsidRPr="008847B6">
              <w:rPr>
                <w:sz w:val="20"/>
                <w:szCs w:val="20"/>
              </w:rPr>
              <w:t xml:space="preserve">str. 139 </w:t>
            </w:r>
            <w:r w:rsidRPr="008847B6">
              <w:rPr>
                <w:sz w:val="20"/>
                <w:szCs w:val="20"/>
              </w:rPr>
              <w:br/>
              <w:t>Projekt strategiczny nr 5 Wspieranie energii odnawialnej na terenie OSI Świętokrzyskie Uzdrowiska</w:t>
            </w:r>
          </w:p>
        </w:tc>
        <w:tc>
          <w:tcPr>
            <w:tcW w:w="2494" w:type="dxa"/>
            <w:vAlign w:val="center"/>
          </w:tcPr>
          <w:p w:rsidR="000F67F1" w:rsidRPr="008847B6" w:rsidRDefault="000F67F1" w:rsidP="00B32F2E">
            <w:pPr>
              <w:ind w:firstLine="6"/>
              <w:jc w:val="left"/>
              <w:rPr>
                <w:sz w:val="20"/>
                <w:szCs w:val="20"/>
              </w:rPr>
            </w:pPr>
          </w:p>
        </w:tc>
        <w:tc>
          <w:tcPr>
            <w:tcW w:w="3936" w:type="dxa"/>
            <w:vAlign w:val="center"/>
          </w:tcPr>
          <w:p w:rsidR="000F67F1" w:rsidRPr="008847B6" w:rsidRDefault="000F67F1" w:rsidP="00B32F2E">
            <w:pPr>
              <w:jc w:val="center"/>
              <w:rPr>
                <w:sz w:val="20"/>
                <w:szCs w:val="20"/>
              </w:rPr>
            </w:pPr>
            <w:r w:rsidRPr="008847B6">
              <w:rPr>
                <w:sz w:val="20"/>
                <w:szCs w:val="20"/>
              </w:rPr>
              <w:t xml:space="preserve">W przypadku OZE nie wskazano jakiego rodzaju OZE dotyczy – wpływ na krajobraz może być znaczący w przypadku wiatraków czy farm fotowoltaicznych. Podobnie będzie </w:t>
            </w:r>
            <w:r w:rsidRPr="008847B6">
              <w:rPr>
                <w:sz w:val="20"/>
                <w:szCs w:val="20"/>
              </w:rPr>
              <w:br/>
              <w:t>z wpływem ewentualnych wiatraków na klimat akustyczny.</w:t>
            </w:r>
          </w:p>
        </w:tc>
        <w:tc>
          <w:tcPr>
            <w:tcW w:w="3832" w:type="dxa"/>
            <w:vAlign w:val="center"/>
          </w:tcPr>
          <w:p w:rsidR="000F67F1" w:rsidRPr="008847B6" w:rsidRDefault="000F67F1" w:rsidP="00B32F2E">
            <w:pPr>
              <w:spacing w:after="0"/>
              <w:jc w:val="center"/>
              <w:rPr>
                <w:sz w:val="20"/>
                <w:szCs w:val="20"/>
              </w:rPr>
            </w:pPr>
            <w:r w:rsidRPr="008847B6">
              <w:rPr>
                <w:sz w:val="20"/>
                <w:szCs w:val="20"/>
              </w:rPr>
              <w:t>Uwaga nieuwzględniona.</w:t>
            </w:r>
          </w:p>
          <w:p w:rsidR="000F67F1" w:rsidRPr="008847B6" w:rsidRDefault="000F67F1" w:rsidP="00B32F2E">
            <w:pPr>
              <w:jc w:val="center"/>
              <w:rPr>
                <w:i/>
                <w:iCs/>
                <w:sz w:val="20"/>
                <w:szCs w:val="20"/>
              </w:rPr>
            </w:pPr>
            <w:r w:rsidRPr="008847B6">
              <w:rPr>
                <w:sz w:val="20"/>
                <w:szCs w:val="20"/>
              </w:rPr>
              <w:t xml:space="preserve">Do oceny oddziaływania poszczególnych projektów strategicznych i zadań zawartych </w:t>
            </w:r>
            <w:r w:rsidRPr="008847B6">
              <w:rPr>
                <w:sz w:val="20"/>
                <w:szCs w:val="20"/>
              </w:rPr>
              <w:br/>
              <w:t>w Strategii zastosowano wykorzystano matrycę potencjalnych oddziaływań na środowisko, w której starano się brać pod uwagę końcowy efekt realizacji przedsięwzięcia.</w:t>
            </w:r>
          </w:p>
          <w:p w:rsidR="000F67F1" w:rsidRPr="008847B6" w:rsidRDefault="000F67F1" w:rsidP="00B32F2E">
            <w:pPr>
              <w:jc w:val="center"/>
              <w:rPr>
                <w:sz w:val="20"/>
                <w:szCs w:val="20"/>
              </w:rPr>
            </w:pPr>
            <w:r w:rsidRPr="008847B6">
              <w:rPr>
                <w:sz w:val="20"/>
                <w:szCs w:val="20"/>
              </w:rPr>
              <w:t xml:space="preserve">Realizacja projektu w końcowym efekcie przyczyni się do poprawy jakości powietrza atmosferycznego, zmniejszenia zapotrzebowania na energię ze źródeł nieodnawialnych i wzrostu efektywności energetycznej budynków, przez co przyniesie pośrednie pozytywne, długoterminowe oddziaływania na zwierzęta, ludzi, powietrze </w:t>
            </w:r>
            <w:r w:rsidRPr="008847B6">
              <w:rPr>
                <w:sz w:val="20"/>
                <w:szCs w:val="20"/>
              </w:rPr>
              <w:br/>
              <w:t>i klimat, powierzchnię ziemi, krajobraz, oraz zasoby naturalne.</w:t>
            </w:r>
          </w:p>
          <w:p w:rsidR="000F67F1" w:rsidRPr="00B32F2E" w:rsidRDefault="000F67F1" w:rsidP="00B32F2E">
            <w:pPr>
              <w:keepNext/>
              <w:keepLines/>
              <w:suppressAutoHyphens/>
              <w:autoSpaceDN w:val="0"/>
              <w:spacing w:before="40" w:after="0" w:line="254" w:lineRule="auto"/>
              <w:jc w:val="center"/>
              <w:textAlignment w:val="baseline"/>
              <w:outlineLvl w:val="1"/>
              <w:rPr>
                <w:i/>
                <w:iCs/>
                <w:color w:val="000000"/>
                <w:sz w:val="20"/>
                <w:szCs w:val="20"/>
              </w:rPr>
            </w:pPr>
            <w:r w:rsidRPr="00B32F2E">
              <w:rPr>
                <w:color w:val="000000"/>
                <w:sz w:val="20"/>
                <w:szCs w:val="20"/>
              </w:rPr>
              <w:t xml:space="preserve">Potencjalne oddziaływania na etapie budowy </w:t>
            </w:r>
            <w:r w:rsidRPr="00B32F2E">
              <w:rPr>
                <w:color w:val="000000"/>
                <w:sz w:val="20"/>
                <w:szCs w:val="20"/>
              </w:rPr>
              <w:br/>
              <w:t xml:space="preserve">i normalnego funkcjonowania oceniono </w:t>
            </w:r>
            <w:r w:rsidRPr="00B32F2E">
              <w:rPr>
                <w:color w:val="000000"/>
                <w:sz w:val="20"/>
                <w:szCs w:val="20"/>
              </w:rPr>
              <w:br/>
              <w:t>w</w:t>
            </w:r>
            <w:r w:rsidRPr="00B32F2E">
              <w:rPr>
                <w:i/>
                <w:iCs/>
                <w:color w:val="000000"/>
                <w:sz w:val="20"/>
                <w:szCs w:val="20"/>
              </w:rPr>
              <w:t xml:space="preserve"> </w:t>
            </w:r>
            <w:bookmarkStart w:id="3" w:name="_Toc118707494"/>
            <w:bookmarkStart w:id="4" w:name="_Toc118976486"/>
            <w:bookmarkStart w:id="5" w:name="_Hlk120786882"/>
            <w:bookmarkStart w:id="6" w:name="_Toc127871262"/>
            <w:r w:rsidRPr="00B32F2E">
              <w:rPr>
                <w:i/>
                <w:iCs/>
                <w:color w:val="000000"/>
                <w:sz w:val="20"/>
                <w:szCs w:val="20"/>
              </w:rPr>
              <w:t xml:space="preserve">Tabeli </w:t>
            </w:r>
            <w:r w:rsidRPr="00B32F2E">
              <w:rPr>
                <w:i/>
                <w:iCs/>
                <w:color w:val="000000"/>
                <w:sz w:val="20"/>
                <w:szCs w:val="20"/>
              </w:rPr>
              <w:fldChar w:fldCharType="begin"/>
            </w:r>
            <w:r w:rsidRPr="00B32F2E">
              <w:rPr>
                <w:i/>
                <w:iCs/>
                <w:color w:val="000000"/>
                <w:sz w:val="20"/>
                <w:szCs w:val="20"/>
              </w:rPr>
              <w:instrText xml:space="preserve"> SEQ Tabela \* ARABIC </w:instrText>
            </w:r>
            <w:r w:rsidRPr="00B32F2E">
              <w:rPr>
                <w:i/>
                <w:iCs/>
                <w:color w:val="000000"/>
                <w:sz w:val="20"/>
                <w:szCs w:val="20"/>
              </w:rPr>
              <w:fldChar w:fldCharType="separate"/>
            </w:r>
            <w:r>
              <w:rPr>
                <w:i/>
                <w:iCs/>
                <w:noProof/>
                <w:color w:val="000000"/>
                <w:sz w:val="20"/>
                <w:szCs w:val="20"/>
              </w:rPr>
              <w:t>2</w:t>
            </w:r>
            <w:r w:rsidRPr="00B32F2E">
              <w:rPr>
                <w:i/>
                <w:iCs/>
                <w:color w:val="000000"/>
                <w:sz w:val="20"/>
                <w:szCs w:val="20"/>
              </w:rPr>
              <w:fldChar w:fldCharType="end"/>
            </w:r>
            <w:r w:rsidRPr="00B32F2E">
              <w:rPr>
                <w:i/>
                <w:iCs/>
                <w:color w:val="000000"/>
                <w:sz w:val="20"/>
                <w:szCs w:val="20"/>
              </w:rPr>
              <w:t xml:space="preserve"> Wpływ na środowisko inwestycji planowanych do realizacji w ramach projektów strategicznych wynikających ze Strategii </w:t>
            </w:r>
            <w:bookmarkEnd w:id="3"/>
            <w:bookmarkEnd w:id="4"/>
            <w:r w:rsidRPr="00B32F2E">
              <w:rPr>
                <w:i/>
                <w:iCs/>
                <w:color w:val="000000"/>
                <w:sz w:val="20"/>
                <w:szCs w:val="20"/>
              </w:rPr>
              <w:t>Rozwoju Obszaru Strategicznej Interwencji Świętokrzyskie Uzdrowiska na lata 2022–2027</w:t>
            </w:r>
            <w:bookmarkEnd w:id="5"/>
            <w:bookmarkEnd w:id="6"/>
            <w:r w:rsidRPr="00B32F2E">
              <w:rPr>
                <w:i/>
                <w:iCs/>
                <w:color w:val="000000"/>
                <w:sz w:val="20"/>
                <w:szCs w:val="20"/>
              </w:rPr>
              <w:t xml:space="preserve"> </w:t>
            </w:r>
            <w:r w:rsidRPr="00B32F2E">
              <w:rPr>
                <w:color w:val="000000"/>
                <w:sz w:val="20"/>
                <w:szCs w:val="20"/>
              </w:rPr>
              <w:t>oraz w podrozdziale</w:t>
            </w:r>
            <w:r w:rsidRPr="00B32F2E">
              <w:rPr>
                <w:i/>
                <w:iCs/>
                <w:color w:val="000000"/>
                <w:sz w:val="20"/>
                <w:szCs w:val="20"/>
              </w:rPr>
              <w:t xml:space="preserve"> </w:t>
            </w:r>
            <w:bookmarkStart w:id="7" w:name="_Toc124419552"/>
            <w:r w:rsidRPr="00B32F2E">
              <w:rPr>
                <w:i/>
                <w:iCs/>
                <w:color w:val="000000"/>
                <w:sz w:val="20"/>
                <w:szCs w:val="20"/>
              </w:rPr>
              <w:t>4.3. Wpływ realizacji Strategii na poszczególne aspekty środowiska</w:t>
            </w:r>
            <w:bookmarkEnd w:id="7"/>
            <w:r w:rsidRPr="00B32F2E">
              <w:rPr>
                <w:i/>
                <w:iCs/>
                <w:color w:val="000000"/>
                <w:sz w:val="20"/>
                <w:szCs w:val="20"/>
              </w:rPr>
              <w:t>.</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r w:rsidRPr="008847B6">
              <w:rPr>
                <w:sz w:val="20"/>
                <w:szCs w:val="20"/>
              </w:rPr>
              <w:t>9.</w:t>
            </w:r>
          </w:p>
        </w:tc>
        <w:tc>
          <w:tcPr>
            <w:tcW w:w="1292" w:type="dxa"/>
            <w:vMerge/>
            <w:vAlign w:val="center"/>
          </w:tcPr>
          <w:p w:rsidR="000F67F1" w:rsidRPr="008847B6" w:rsidRDefault="000F67F1" w:rsidP="00B32F2E">
            <w:pPr>
              <w:jc w:val="center"/>
              <w:rPr>
                <w:sz w:val="20"/>
                <w:szCs w:val="20"/>
              </w:rPr>
            </w:pPr>
          </w:p>
        </w:tc>
        <w:tc>
          <w:tcPr>
            <w:tcW w:w="1662" w:type="dxa"/>
            <w:vAlign w:val="center"/>
          </w:tcPr>
          <w:p w:rsidR="000F67F1" w:rsidRPr="008847B6" w:rsidRDefault="000F67F1" w:rsidP="00B32F2E">
            <w:pPr>
              <w:jc w:val="left"/>
              <w:rPr>
                <w:sz w:val="20"/>
                <w:szCs w:val="20"/>
              </w:rPr>
            </w:pPr>
            <w:r w:rsidRPr="008847B6">
              <w:rPr>
                <w:sz w:val="20"/>
                <w:szCs w:val="20"/>
              </w:rPr>
              <w:t>str. 140</w:t>
            </w:r>
          </w:p>
        </w:tc>
        <w:tc>
          <w:tcPr>
            <w:tcW w:w="2494" w:type="dxa"/>
            <w:vAlign w:val="center"/>
          </w:tcPr>
          <w:p w:rsidR="000F67F1" w:rsidRPr="008847B6" w:rsidRDefault="000F67F1" w:rsidP="00B32F2E">
            <w:pPr>
              <w:ind w:firstLine="6"/>
              <w:jc w:val="center"/>
              <w:rPr>
                <w:sz w:val="20"/>
                <w:szCs w:val="20"/>
              </w:rPr>
            </w:pPr>
            <w:r w:rsidRPr="008847B6">
              <w:rPr>
                <w:sz w:val="20"/>
                <w:szCs w:val="20"/>
              </w:rPr>
              <w:t xml:space="preserve">Zagospodarowanie na cele turystyczne z przyległymi terenami wraz </w:t>
            </w:r>
            <w:r w:rsidRPr="008847B6">
              <w:rPr>
                <w:sz w:val="20"/>
                <w:szCs w:val="20"/>
              </w:rPr>
              <w:br/>
              <w:t>z infrastrukturą towarzyszącą zbiornika Zalewu Pińczowskiego</w:t>
            </w:r>
          </w:p>
        </w:tc>
        <w:tc>
          <w:tcPr>
            <w:tcW w:w="3936" w:type="dxa"/>
            <w:vAlign w:val="center"/>
          </w:tcPr>
          <w:p w:rsidR="000F67F1" w:rsidRPr="008847B6" w:rsidRDefault="000F67F1" w:rsidP="00B32F2E">
            <w:pPr>
              <w:jc w:val="center"/>
              <w:rPr>
                <w:sz w:val="20"/>
                <w:szCs w:val="20"/>
              </w:rPr>
            </w:pPr>
            <w:r w:rsidRPr="008847B6">
              <w:rPr>
                <w:sz w:val="20"/>
                <w:szCs w:val="20"/>
              </w:rPr>
              <w:t>Zagospodarowanie zbiornika z terenami przyległymi wiąże się z wpływem przede wszystkim na bioróżnorodność i krajobraz</w:t>
            </w:r>
          </w:p>
        </w:tc>
        <w:tc>
          <w:tcPr>
            <w:tcW w:w="3832" w:type="dxa"/>
            <w:vAlign w:val="center"/>
          </w:tcPr>
          <w:p w:rsidR="000F67F1" w:rsidRPr="008847B6" w:rsidRDefault="000F67F1" w:rsidP="00B32F2E">
            <w:pPr>
              <w:spacing w:after="0"/>
              <w:jc w:val="center"/>
              <w:rPr>
                <w:sz w:val="20"/>
                <w:szCs w:val="20"/>
              </w:rPr>
            </w:pPr>
            <w:r w:rsidRPr="008847B6">
              <w:rPr>
                <w:sz w:val="20"/>
                <w:szCs w:val="20"/>
              </w:rPr>
              <w:t>Uwaga nieuwzględniona.</w:t>
            </w:r>
          </w:p>
          <w:p w:rsidR="000F67F1" w:rsidRPr="008847B6" w:rsidRDefault="000F67F1" w:rsidP="00B32F2E">
            <w:pPr>
              <w:jc w:val="center"/>
              <w:rPr>
                <w:sz w:val="20"/>
                <w:szCs w:val="20"/>
              </w:rPr>
            </w:pPr>
            <w:r w:rsidRPr="008847B6">
              <w:rPr>
                <w:sz w:val="20"/>
                <w:szCs w:val="20"/>
              </w:rPr>
              <w:t>Uwaga nie wnosi żadnych propozycji zmian i nie wskazuje na błędy.</w:t>
            </w:r>
          </w:p>
          <w:p w:rsidR="000F67F1" w:rsidRPr="008847B6" w:rsidRDefault="000F67F1" w:rsidP="00B32F2E">
            <w:pPr>
              <w:jc w:val="center"/>
              <w:rPr>
                <w:sz w:val="20"/>
                <w:szCs w:val="20"/>
              </w:rPr>
            </w:pPr>
            <w:r w:rsidRPr="008847B6">
              <w:rPr>
                <w:sz w:val="20"/>
                <w:szCs w:val="20"/>
              </w:rPr>
              <w:t xml:space="preserve">Wpływ zadania został oceniony zarówno </w:t>
            </w:r>
            <w:r w:rsidRPr="008847B6">
              <w:rPr>
                <w:sz w:val="20"/>
                <w:szCs w:val="20"/>
              </w:rPr>
              <w:br/>
              <w:t>w matrycy potencjalnych oddziaływań na środowisko jak i w podrozdziałach poświęconych analizom wpływu realizacji Strategii na poszczególne aspekty środowiska.</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r w:rsidRPr="008847B6">
              <w:rPr>
                <w:sz w:val="20"/>
                <w:szCs w:val="20"/>
              </w:rPr>
              <w:t>10.</w:t>
            </w:r>
          </w:p>
        </w:tc>
        <w:tc>
          <w:tcPr>
            <w:tcW w:w="1292" w:type="dxa"/>
            <w:vMerge/>
            <w:vAlign w:val="center"/>
          </w:tcPr>
          <w:p w:rsidR="000F67F1" w:rsidRPr="008847B6" w:rsidRDefault="000F67F1" w:rsidP="00B32F2E">
            <w:pPr>
              <w:jc w:val="center"/>
              <w:rPr>
                <w:sz w:val="20"/>
                <w:szCs w:val="20"/>
              </w:rPr>
            </w:pPr>
          </w:p>
        </w:tc>
        <w:tc>
          <w:tcPr>
            <w:tcW w:w="1662" w:type="dxa"/>
            <w:vAlign w:val="center"/>
          </w:tcPr>
          <w:p w:rsidR="000F67F1" w:rsidRPr="008847B6" w:rsidRDefault="000F67F1" w:rsidP="00B32F2E">
            <w:pPr>
              <w:jc w:val="left"/>
              <w:rPr>
                <w:sz w:val="20"/>
                <w:szCs w:val="20"/>
              </w:rPr>
            </w:pPr>
            <w:r w:rsidRPr="008847B6">
              <w:rPr>
                <w:sz w:val="20"/>
                <w:szCs w:val="20"/>
              </w:rPr>
              <w:t xml:space="preserve">Bulwary nad Nidą </w:t>
            </w:r>
            <w:r w:rsidRPr="008847B6">
              <w:rPr>
                <w:sz w:val="20"/>
                <w:szCs w:val="20"/>
              </w:rPr>
              <w:br/>
              <w:t>w Pińczowie</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ind w:firstLine="6"/>
              <w:jc w:val="center"/>
              <w:rPr>
                <w:sz w:val="20"/>
                <w:szCs w:val="20"/>
              </w:rPr>
            </w:pPr>
            <w:r w:rsidRPr="008847B6">
              <w:rPr>
                <w:sz w:val="20"/>
                <w:szCs w:val="20"/>
              </w:rPr>
              <w:t>Zadanie nie oddziałujące znacząco negatywnie na środowisko – działanie organizacyjne, nieinwestycyjne, nie oddziałujące na żaden</w:t>
            </w:r>
            <w:r w:rsidRPr="008847B6">
              <w:rPr>
                <w:sz w:val="20"/>
                <w:szCs w:val="20"/>
              </w:rPr>
              <w:br/>
              <w:t>z komponentów. Zadanie dotyczy opracowania dokumentacji technicznej (przetarg na opracowanie dokumentacji technicznej ogłoszono w styczniu 2023) oraz dokumentacji dotyczącej oceny oddziaływania na środowisko w celu określenia szczegółowych parametrów i zakresu prac związanych z ingerencją w koryto rzeczne oraz dolinę rzeczną, w tym siedliska gatunków podlegające ochronie (negatywna decyzja nr WOO-II.4220.1.24.2022.PW.1 Regionalnego Dyrektora Ochrony Środowiska w Kielcach w sprawie „wykonania miejsca rekreacji – Bulwary nad Nidą”.</w:t>
            </w:r>
          </w:p>
        </w:tc>
        <w:tc>
          <w:tcPr>
            <w:tcW w:w="3936" w:type="dxa"/>
            <w:vAlign w:val="center"/>
          </w:tcPr>
          <w:p w:rsidR="000F67F1" w:rsidRPr="008847B6" w:rsidRDefault="000F67F1" w:rsidP="00B32F2E">
            <w:pPr>
              <w:jc w:val="center"/>
              <w:rPr>
                <w:sz w:val="20"/>
                <w:szCs w:val="20"/>
              </w:rPr>
            </w:pPr>
            <w:r w:rsidRPr="008847B6">
              <w:rPr>
                <w:sz w:val="20"/>
                <w:szCs w:val="20"/>
              </w:rPr>
              <w:t>Zadanie nie oddziałujące znacząco negatywnie na środowisko. Aktualny etap – zmiana dokumentów planistycznych pod kątem umożliwienia realizacji zadania.</w:t>
            </w:r>
          </w:p>
        </w:tc>
        <w:tc>
          <w:tcPr>
            <w:tcW w:w="3832" w:type="dxa"/>
            <w:vAlign w:val="center"/>
          </w:tcPr>
          <w:p w:rsidR="000F67F1" w:rsidRPr="008847B6" w:rsidRDefault="000F67F1" w:rsidP="00B32F2E">
            <w:pPr>
              <w:jc w:val="center"/>
              <w:rPr>
                <w:sz w:val="20"/>
                <w:szCs w:val="20"/>
              </w:rPr>
            </w:pPr>
            <w:r w:rsidRPr="008847B6">
              <w:rPr>
                <w:sz w:val="20"/>
                <w:szCs w:val="20"/>
              </w:rPr>
              <w:t>Uwaga uwzględniona. Zaktualizowano zapisy dotyczące oddziaływania przedmiotowego zadania o informacje dotyczące zmiany dokumentów planistycznych pod kątem możliwości realizacji zadania.</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r w:rsidRPr="008847B6">
              <w:rPr>
                <w:sz w:val="20"/>
                <w:szCs w:val="20"/>
              </w:rPr>
              <w:t>11.</w:t>
            </w:r>
          </w:p>
        </w:tc>
        <w:tc>
          <w:tcPr>
            <w:tcW w:w="1292" w:type="dxa"/>
            <w:vMerge/>
            <w:vAlign w:val="center"/>
          </w:tcPr>
          <w:p w:rsidR="000F67F1" w:rsidRPr="008847B6" w:rsidRDefault="000F67F1" w:rsidP="00B32F2E">
            <w:pPr>
              <w:jc w:val="center"/>
              <w:rPr>
                <w:sz w:val="20"/>
                <w:szCs w:val="20"/>
              </w:rPr>
            </w:pPr>
          </w:p>
        </w:tc>
        <w:tc>
          <w:tcPr>
            <w:tcW w:w="1662" w:type="dxa"/>
            <w:vAlign w:val="center"/>
          </w:tcPr>
          <w:p w:rsidR="000F67F1" w:rsidRPr="008847B6" w:rsidRDefault="000F67F1" w:rsidP="00B32F2E">
            <w:pPr>
              <w:jc w:val="center"/>
              <w:rPr>
                <w:sz w:val="20"/>
                <w:szCs w:val="20"/>
              </w:rPr>
            </w:pPr>
            <w:r w:rsidRPr="008847B6">
              <w:rPr>
                <w:sz w:val="20"/>
                <w:szCs w:val="20"/>
              </w:rPr>
              <w:t>str. 150</w:t>
            </w:r>
          </w:p>
          <w:p w:rsidR="000F67F1" w:rsidRPr="008847B6" w:rsidRDefault="000F67F1" w:rsidP="00B32F2E">
            <w:pPr>
              <w:jc w:val="center"/>
              <w:rPr>
                <w:sz w:val="20"/>
                <w:szCs w:val="20"/>
              </w:rPr>
            </w:pPr>
            <w:r w:rsidRPr="008847B6">
              <w:rPr>
                <w:sz w:val="20"/>
                <w:szCs w:val="20"/>
              </w:rPr>
              <w:t xml:space="preserve">Zagospodarowanie na cele turystyczne </w:t>
            </w:r>
            <w:r w:rsidRPr="008847B6">
              <w:rPr>
                <w:sz w:val="20"/>
                <w:szCs w:val="20"/>
              </w:rPr>
              <w:br/>
              <w:t xml:space="preserve">z przyległymi terenami wraz </w:t>
            </w:r>
            <w:r w:rsidRPr="008847B6">
              <w:rPr>
                <w:sz w:val="20"/>
                <w:szCs w:val="20"/>
              </w:rPr>
              <w:br/>
              <w:t>z infrastrukturą towarzyszącą zbiornika Zalewu Pińczowskiego</w:t>
            </w:r>
          </w:p>
        </w:tc>
        <w:tc>
          <w:tcPr>
            <w:tcW w:w="2494" w:type="dxa"/>
            <w:vAlign w:val="center"/>
          </w:tcPr>
          <w:p w:rsidR="000F67F1" w:rsidRPr="008847B6" w:rsidRDefault="000F67F1" w:rsidP="00B32F2E">
            <w:pPr>
              <w:ind w:firstLine="6"/>
              <w:jc w:val="center"/>
              <w:rPr>
                <w:sz w:val="20"/>
                <w:szCs w:val="20"/>
              </w:rPr>
            </w:pPr>
            <w:r w:rsidRPr="008847B6">
              <w:rPr>
                <w:sz w:val="20"/>
                <w:szCs w:val="20"/>
              </w:rPr>
              <w:t>Korytarz ekologiczny Dolina Nidy, obszar Natura 2000 – Dolina Nidy, obszar Natura 2000 Ostoja Szaniecka, Nadnidziański Park Krajobrazowy</w:t>
            </w:r>
          </w:p>
        </w:tc>
        <w:tc>
          <w:tcPr>
            <w:tcW w:w="3936" w:type="dxa"/>
            <w:vAlign w:val="center"/>
          </w:tcPr>
          <w:p w:rsidR="000F67F1" w:rsidRPr="008847B6" w:rsidRDefault="000F67F1" w:rsidP="00B32F2E">
            <w:pPr>
              <w:jc w:val="center"/>
              <w:rPr>
                <w:sz w:val="20"/>
                <w:szCs w:val="20"/>
              </w:rPr>
            </w:pPr>
            <w:r w:rsidRPr="008847B6">
              <w:rPr>
                <w:sz w:val="20"/>
                <w:szCs w:val="20"/>
              </w:rPr>
              <w:t>Korytarz ekologiczny Dolina Nidy, obszar Natura 2000 – Dolina Nidy, obszar Natura 2000 Ostoja Nidziańska, Nadnidziański Park Krajobrazowy</w:t>
            </w:r>
          </w:p>
        </w:tc>
        <w:tc>
          <w:tcPr>
            <w:tcW w:w="3832" w:type="dxa"/>
            <w:vAlign w:val="center"/>
          </w:tcPr>
          <w:p w:rsidR="000F67F1" w:rsidRPr="008847B6" w:rsidRDefault="000F67F1" w:rsidP="00B32F2E">
            <w:pPr>
              <w:spacing w:after="0"/>
              <w:jc w:val="center"/>
              <w:rPr>
                <w:sz w:val="20"/>
                <w:szCs w:val="20"/>
              </w:rPr>
            </w:pPr>
            <w:r w:rsidRPr="008847B6">
              <w:rPr>
                <w:sz w:val="20"/>
                <w:szCs w:val="20"/>
              </w:rPr>
              <w:t>Uwaga nieuwzględniona.</w:t>
            </w:r>
          </w:p>
          <w:p w:rsidR="000F67F1" w:rsidRPr="008847B6" w:rsidRDefault="000F67F1" w:rsidP="00B32F2E">
            <w:pPr>
              <w:jc w:val="center"/>
              <w:rPr>
                <w:i/>
                <w:iCs/>
                <w:sz w:val="20"/>
                <w:szCs w:val="20"/>
              </w:rPr>
            </w:pPr>
            <w:r w:rsidRPr="008847B6">
              <w:rPr>
                <w:sz w:val="20"/>
                <w:szCs w:val="20"/>
              </w:rPr>
              <w:t>Omyłka została skorygowana przed</w:t>
            </w:r>
            <w:r w:rsidRPr="008847B6">
              <w:rPr>
                <w:i/>
                <w:iCs/>
                <w:sz w:val="20"/>
                <w:szCs w:val="20"/>
              </w:rPr>
              <w:t xml:space="preserve"> </w:t>
            </w:r>
            <w:r w:rsidRPr="008847B6">
              <w:rPr>
                <w:sz w:val="20"/>
                <w:szCs w:val="20"/>
              </w:rPr>
              <w:t xml:space="preserve">wyłożeniem projektu Prognozy </w:t>
            </w:r>
            <w:r w:rsidRPr="008847B6">
              <w:rPr>
                <w:i/>
                <w:iCs/>
                <w:sz w:val="20"/>
                <w:szCs w:val="20"/>
              </w:rPr>
              <w:t>Odziaływania na Środowisko Strategii Rozwoju Obszaru Strategicznej Interwencji Świętokrzyskie Uzdrowiska na lata 2022–2027</w:t>
            </w:r>
            <w:r w:rsidRPr="008847B6">
              <w:rPr>
                <w:sz w:val="20"/>
                <w:szCs w:val="20"/>
              </w:rPr>
              <w:t xml:space="preserve"> do publicznego wglądu w ramach konsultacji społecznych Prognozy.</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p>
        </w:tc>
        <w:tc>
          <w:tcPr>
            <w:tcW w:w="1292" w:type="dxa"/>
            <w:vMerge/>
            <w:vAlign w:val="center"/>
          </w:tcPr>
          <w:p w:rsidR="000F67F1" w:rsidRPr="008847B6" w:rsidRDefault="000F67F1" w:rsidP="00B32F2E">
            <w:pPr>
              <w:jc w:val="center"/>
              <w:rPr>
                <w:sz w:val="20"/>
                <w:szCs w:val="20"/>
              </w:rPr>
            </w:pPr>
          </w:p>
        </w:tc>
        <w:tc>
          <w:tcPr>
            <w:tcW w:w="1662"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jc w:val="center"/>
              <w:rPr>
                <w:sz w:val="20"/>
                <w:szCs w:val="20"/>
              </w:rPr>
            </w:pPr>
            <w:r w:rsidRPr="008847B6">
              <w:rPr>
                <w:sz w:val="20"/>
                <w:szCs w:val="20"/>
              </w:rPr>
              <w:t>Str. 189</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ind w:firstLine="6"/>
              <w:jc w:val="center"/>
              <w:rPr>
                <w:sz w:val="20"/>
                <w:szCs w:val="20"/>
              </w:rPr>
            </w:pPr>
            <w:r w:rsidRPr="008847B6">
              <w:rPr>
                <w:sz w:val="20"/>
                <w:szCs w:val="20"/>
              </w:rPr>
              <w:t>Analiza lokalizacji planowanych działań inwestycyjnych dotyczących infrastruktury społecznej, edukacyjnej, uzdrowiskowej i ogólnie budynków użyteczności publicznej wskazuje, że żadna inwestycja nie będzie realizowana na obszarze Natura 2000.</w:t>
            </w:r>
          </w:p>
        </w:tc>
        <w:tc>
          <w:tcPr>
            <w:tcW w:w="3936"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jc w:val="center"/>
              <w:rPr>
                <w:sz w:val="20"/>
                <w:szCs w:val="20"/>
              </w:rPr>
            </w:pPr>
            <w:r w:rsidRPr="008847B6">
              <w:rPr>
                <w:sz w:val="20"/>
                <w:szCs w:val="20"/>
              </w:rPr>
              <w:t xml:space="preserve">Analiza lokalizacji planowanych działań inwestycyjnych dotyczących infrastruktury społecznej, edukacyjnej, uzdrowiskowej </w:t>
            </w:r>
            <w:r w:rsidRPr="008847B6">
              <w:rPr>
                <w:sz w:val="20"/>
                <w:szCs w:val="20"/>
              </w:rPr>
              <w:br/>
              <w:t xml:space="preserve">i ogólnie budynków użyteczności publicznej wskazuje, że żadna inwestycja nie będzie realizowana na obszarze Natura 2000 </w:t>
            </w:r>
            <w:r w:rsidRPr="008847B6">
              <w:rPr>
                <w:sz w:val="20"/>
                <w:szCs w:val="20"/>
              </w:rPr>
              <w:br/>
              <w:t xml:space="preserve">z wyjątkiem terenów Gminy Pińczów. </w:t>
            </w:r>
          </w:p>
        </w:tc>
        <w:tc>
          <w:tcPr>
            <w:tcW w:w="3832" w:type="dxa"/>
            <w:vAlign w:val="center"/>
          </w:tcPr>
          <w:p w:rsidR="000F67F1" w:rsidRPr="008847B6" w:rsidRDefault="000F67F1" w:rsidP="00B32F2E">
            <w:pPr>
              <w:jc w:val="center"/>
              <w:rPr>
                <w:sz w:val="20"/>
                <w:szCs w:val="20"/>
              </w:rPr>
            </w:pPr>
            <w:r w:rsidRPr="008847B6">
              <w:rPr>
                <w:sz w:val="20"/>
                <w:szCs w:val="20"/>
              </w:rPr>
              <w:t>Uwaga uwzględniona. Dodano zapis.</w:t>
            </w:r>
          </w:p>
        </w:tc>
      </w:tr>
      <w:tr w:rsidR="000F67F1" w:rsidRPr="008847B6">
        <w:trPr>
          <w:trHeight w:val="1313"/>
          <w:jc w:val="center"/>
        </w:trPr>
        <w:tc>
          <w:tcPr>
            <w:tcW w:w="459" w:type="dxa"/>
            <w:vAlign w:val="center"/>
          </w:tcPr>
          <w:p w:rsidR="000F67F1" w:rsidRPr="008847B6" w:rsidRDefault="000F67F1" w:rsidP="00B32F2E">
            <w:pPr>
              <w:ind w:left="-1049"/>
              <w:jc w:val="center"/>
              <w:rPr>
                <w:sz w:val="20"/>
                <w:szCs w:val="20"/>
              </w:rPr>
            </w:pPr>
          </w:p>
        </w:tc>
        <w:tc>
          <w:tcPr>
            <w:tcW w:w="1292" w:type="dxa"/>
            <w:vMerge/>
            <w:vAlign w:val="center"/>
          </w:tcPr>
          <w:p w:rsidR="000F67F1" w:rsidRPr="008847B6" w:rsidRDefault="000F67F1" w:rsidP="00B32F2E">
            <w:pPr>
              <w:jc w:val="center"/>
              <w:rPr>
                <w:sz w:val="20"/>
                <w:szCs w:val="20"/>
              </w:rPr>
            </w:pPr>
          </w:p>
        </w:tc>
        <w:tc>
          <w:tcPr>
            <w:tcW w:w="1662"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jc w:val="center"/>
              <w:rPr>
                <w:sz w:val="20"/>
                <w:szCs w:val="20"/>
              </w:rPr>
            </w:pPr>
            <w:r w:rsidRPr="008847B6">
              <w:rPr>
                <w:sz w:val="20"/>
                <w:szCs w:val="20"/>
              </w:rPr>
              <w:t>Str. 192</w:t>
            </w:r>
          </w:p>
        </w:tc>
        <w:tc>
          <w:tcPr>
            <w:tcW w:w="2494"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ind w:firstLine="6"/>
              <w:jc w:val="center"/>
              <w:rPr>
                <w:sz w:val="20"/>
                <w:szCs w:val="20"/>
              </w:rPr>
            </w:pPr>
            <w:r w:rsidRPr="008847B6">
              <w:rPr>
                <w:sz w:val="20"/>
                <w:szCs w:val="20"/>
              </w:rPr>
              <w:t xml:space="preserve">Żadne z działań inwestycyjnych poddanych ocenie nie będzie realizowane na terenie obszarów Natura 2000, dotyczy to zarówno zaplanowanych prac w istniejących obiektach (ich rozbudowa, przebudowa, modernizacja, remont itp.), jak również planowanych inwestycji związanych </w:t>
            </w:r>
            <w:r w:rsidRPr="008847B6">
              <w:rPr>
                <w:sz w:val="20"/>
                <w:szCs w:val="20"/>
              </w:rPr>
              <w:br/>
              <w:t>z budową nowej infrastruktury (budowa nowych obiektów, budowa nowych, gotowych do realizacji ścieżek, przygotowanie terenów pod inwestycje, zagospodarowanie terenów na cele turystyczne itp.).</w:t>
            </w:r>
          </w:p>
        </w:tc>
        <w:tc>
          <w:tcPr>
            <w:tcW w:w="3936" w:type="dxa"/>
            <w:tcBorders>
              <w:top w:val="single" w:sz="4" w:space="0" w:color="00000A"/>
              <w:left w:val="single" w:sz="4" w:space="0" w:color="00000A"/>
              <w:bottom w:val="single" w:sz="4" w:space="0" w:color="00000A"/>
              <w:right w:val="single" w:sz="4" w:space="0" w:color="00000A"/>
            </w:tcBorders>
            <w:shd w:val="clear" w:color="auto" w:fill="FFFFFF"/>
          </w:tcPr>
          <w:p w:rsidR="000F67F1" w:rsidRPr="008847B6" w:rsidRDefault="000F67F1" w:rsidP="00B32F2E">
            <w:pPr>
              <w:jc w:val="center"/>
              <w:rPr>
                <w:sz w:val="20"/>
                <w:szCs w:val="20"/>
              </w:rPr>
            </w:pPr>
            <w:r w:rsidRPr="008847B6">
              <w:rPr>
                <w:sz w:val="20"/>
                <w:szCs w:val="20"/>
              </w:rPr>
              <w:t>Żadne z działań inwestycyjnych poddanych ocenie nie będzie realizowane na terenie obszarów Natura 2000, dotyczy to zarówno zaplanowanych prac w istniejących obiektach (ich rozbudowa, przebudowa, modernizacja, remont itp.), jak również planowanych inwestycji związanych z budową nowej infrastruktury (budowa nowych obiektów, budowa nowych, gotowych do realizacji ścieżek, przygotowanie terenów pod inwestycje, zagospodarowanie terenów na cele turystyczne itp.) z wyłączeniem części działań planowanych w Gminie Pińczów</w:t>
            </w:r>
          </w:p>
        </w:tc>
        <w:tc>
          <w:tcPr>
            <w:tcW w:w="3832" w:type="dxa"/>
            <w:vAlign w:val="center"/>
          </w:tcPr>
          <w:p w:rsidR="000F67F1" w:rsidRPr="008847B6" w:rsidRDefault="000F67F1" w:rsidP="00B32F2E">
            <w:pPr>
              <w:jc w:val="center"/>
              <w:rPr>
                <w:sz w:val="20"/>
                <w:szCs w:val="20"/>
              </w:rPr>
            </w:pPr>
            <w:r w:rsidRPr="008847B6">
              <w:rPr>
                <w:sz w:val="20"/>
                <w:szCs w:val="20"/>
              </w:rPr>
              <w:t>Uwaga nieuwzględniona.</w:t>
            </w:r>
          </w:p>
          <w:p w:rsidR="000F67F1" w:rsidRPr="008847B6" w:rsidRDefault="000F67F1" w:rsidP="00B32F2E">
            <w:pPr>
              <w:jc w:val="center"/>
              <w:rPr>
                <w:sz w:val="20"/>
                <w:szCs w:val="20"/>
              </w:rPr>
            </w:pPr>
            <w:r w:rsidRPr="008847B6">
              <w:rPr>
                <w:sz w:val="20"/>
                <w:szCs w:val="20"/>
              </w:rPr>
              <w:t>Zapisy dotyczące realizacji działań inwestycyjnych  na terenie obszarów Natura 2000 w Mieście i Gminie Pińczów zostały uzupełnione przed</w:t>
            </w:r>
            <w:r w:rsidRPr="008847B6">
              <w:rPr>
                <w:i/>
                <w:iCs/>
                <w:sz w:val="20"/>
                <w:szCs w:val="20"/>
              </w:rPr>
              <w:t xml:space="preserve"> </w:t>
            </w:r>
            <w:r w:rsidRPr="008847B6">
              <w:rPr>
                <w:sz w:val="20"/>
                <w:szCs w:val="20"/>
              </w:rPr>
              <w:t xml:space="preserve">wyłożeniem projektu Prognozy </w:t>
            </w:r>
            <w:r w:rsidRPr="008847B6">
              <w:rPr>
                <w:i/>
                <w:iCs/>
                <w:sz w:val="20"/>
                <w:szCs w:val="20"/>
              </w:rPr>
              <w:t>Odziaływania na Środowisko Strategii Rozwoju Obszaru Strategicznej Interwencji Świętokrzyskie Uzdrowiska na lata 2022–2027</w:t>
            </w:r>
            <w:r w:rsidRPr="008847B6">
              <w:rPr>
                <w:sz w:val="20"/>
                <w:szCs w:val="20"/>
              </w:rPr>
              <w:t xml:space="preserve"> do publicznego wglądu </w:t>
            </w:r>
            <w:r w:rsidRPr="008847B6">
              <w:rPr>
                <w:sz w:val="20"/>
                <w:szCs w:val="20"/>
              </w:rPr>
              <w:br/>
              <w:t>w ramach konsultacji społecznych Prognozy.</w:t>
            </w:r>
          </w:p>
        </w:tc>
      </w:tr>
    </w:tbl>
    <w:p w:rsidR="000F67F1" w:rsidRDefault="000F67F1" w:rsidP="002E5B22">
      <w:pPr>
        <w:spacing w:after="0" w:line="360" w:lineRule="auto"/>
        <w:ind w:firstLine="709"/>
        <w:rPr>
          <w:sz w:val="23"/>
          <w:szCs w:val="23"/>
        </w:rPr>
      </w:pPr>
    </w:p>
    <w:sectPr w:rsidR="000F67F1" w:rsidSect="00331149">
      <w:pgSz w:w="16838" w:h="11906" w:orient="landscape"/>
      <w:pgMar w:top="1417" w:right="709" w:bottom="1417" w:left="709" w:header="147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F1" w:rsidRDefault="000F67F1" w:rsidP="002F5144">
      <w:pPr>
        <w:spacing w:after="0" w:line="240" w:lineRule="auto"/>
      </w:pPr>
      <w:r>
        <w:separator/>
      </w:r>
    </w:p>
  </w:endnote>
  <w:endnote w:type="continuationSeparator" w:id="0">
    <w:p w:rsidR="000F67F1" w:rsidRDefault="000F67F1" w:rsidP="002F5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F1" w:rsidRDefault="000F67F1" w:rsidP="002F5144">
      <w:pPr>
        <w:spacing w:after="0" w:line="240" w:lineRule="auto"/>
      </w:pPr>
      <w:r>
        <w:separator/>
      </w:r>
    </w:p>
  </w:footnote>
  <w:footnote w:type="continuationSeparator" w:id="0">
    <w:p w:rsidR="000F67F1" w:rsidRDefault="000F67F1" w:rsidP="002F5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D6B"/>
    <w:multiLevelType w:val="hybridMultilevel"/>
    <w:tmpl w:val="192885E8"/>
    <w:lvl w:ilvl="0" w:tplc="A022A296">
      <w:start w:val="1"/>
      <w:numFmt w:val="decimal"/>
      <w:lvlText w:val="%1."/>
      <w:lvlJc w:val="left"/>
      <w:rPr>
        <w:rFonts w:ascii="Times New Roman" w:hAnsi="Times New Roman" w:hint="default"/>
        <w:b w:val="0"/>
        <w:bCs w:val="0"/>
        <w:i w:val="0"/>
        <w:iCs w:val="0"/>
        <w:sz w:val="23"/>
        <w:szCs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A10E22"/>
    <w:multiLevelType w:val="hybridMultilevel"/>
    <w:tmpl w:val="2DF2EAB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23B040C4"/>
    <w:multiLevelType w:val="hybridMultilevel"/>
    <w:tmpl w:val="00F057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5D26D4"/>
    <w:multiLevelType w:val="hybridMultilevel"/>
    <w:tmpl w:val="E0302E7E"/>
    <w:lvl w:ilvl="0" w:tplc="2678290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8561EC8"/>
    <w:multiLevelType w:val="hybridMultilevel"/>
    <w:tmpl w:val="2DF0AA72"/>
    <w:lvl w:ilvl="0" w:tplc="B78CEC2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9C0"/>
    <w:rsid w:val="0005351B"/>
    <w:rsid w:val="00057586"/>
    <w:rsid w:val="000840D6"/>
    <w:rsid w:val="000C2E59"/>
    <w:rsid w:val="000D3ED6"/>
    <w:rsid w:val="000F67F1"/>
    <w:rsid w:val="00125689"/>
    <w:rsid w:val="0014157C"/>
    <w:rsid w:val="00180623"/>
    <w:rsid w:val="00187569"/>
    <w:rsid w:val="001D3275"/>
    <w:rsid w:val="001E043C"/>
    <w:rsid w:val="001F5E04"/>
    <w:rsid w:val="00223D53"/>
    <w:rsid w:val="002259F4"/>
    <w:rsid w:val="00262341"/>
    <w:rsid w:val="00274FD2"/>
    <w:rsid w:val="00280B9F"/>
    <w:rsid w:val="002E5B22"/>
    <w:rsid w:val="002F5144"/>
    <w:rsid w:val="00325010"/>
    <w:rsid w:val="00331149"/>
    <w:rsid w:val="00332F78"/>
    <w:rsid w:val="00367E6E"/>
    <w:rsid w:val="003D27AE"/>
    <w:rsid w:val="004113FD"/>
    <w:rsid w:val="00435025"/>
    <w:rsid w:val="004561E4"/>
    <w:rsid w:val="004735D6"/>
    <w:rsid w:val="004774B0"/>
    <w:rsid w:val="004A15B2"/>
    <w:rsid w:val="004D12F7"/>
    <w:rsid w:val="004D7C51"/>
    <w:rsid w:val="00546AAC"/>
    <w:rsid w:val="00567541"/>
    <w:rsid w:val="0058034F"/>
    <w:rsid w:val="005863C3"/>
    <w:rsid w:val="005A59BB"/>
    <w:rsid w:val="005D5EFE"/>
    <w:rsid w:val="005F1E5B"/>
    <w:rsid w:val="00643412"/>
    <w:rsid w:val="006970C9"/>
    <w:rsid w:val="006A0B48"/>
    <w:rsid w:val="006B5FC5"/>
    <w:rsid w:val="007069C0"/>
    <w:rsid w:val="00723077"/>
    <w:rsid w:val="007243AB"/>
    <w:rsid w:val="007673D4"/>
    <w:rsid w:val="00794812"/>
    <w:rsid w:val="007D55DC"/>
    <w:rsid w:val="007D7477"/>
    <w:rsid w:val="00803131"/>
    <w:rsid w:val="00853B4C"/>
    <w:rsid w:val="0086222D"/>
    <w:rsid w:val="00864E5E"/>
    <w:rsid w:val="00873882"/>
    <w:rsid w:val="008847B6"/>
    <w:rsid w:val="00895D88"/>
    <w:rsid w:val="00981797"/>
    <w:rsid w:val="009A57D8"/>
    <w:rsid w:val="009A6244"/>
    <w:rsid w:val="00A7522A"/>
    <w:rsid w:val="00A97160"/>
    <w:rsid w:val="00AB264D"/>
    <w:rsid w:val="00AE24DE"/>
    <w:rsid w:val="00B04512"/>
    <w:rsid w:val="00B061B6"/>
    <w:rsid w:val="00B32F2E"/>
    <w:rsid w:val="00B62469"/>
    <w:rsid w:val="00B91B9F"/>
    <w:rsid w:val="00BB33BF"/>
    <w:rsid w:val="00BB42D5"/>
    <w:rsid w:val="00BE20A9"/>
    <w:rsid w:val="00BE2BA4"/>
    <w:rsid w:val="00C445DE"/>
    <w:rsid w:val="00C833BA"/>
    <w:rsid w:val="00C9469F"/>
    <w:rsid w:val="00CB0AD5"/>
    <w:rsid w:val="00D10EF8"/>
    <w:rsid w:val="00D36FCB"/>
    <w:rsid w:val="00D412BB"/>
    <w:rsid w:val="00D57582"/>
    <w:rsid w:val="00DC3ACC"/>
    <w:rsid w:val="00DC73FC"/>
    <w:rsid w:val="00DD7B6E"/>
    <w:rsid w:val="00DF7CF8"/>
    <w:rsid w:val="00E03918"/>
    <w:rsid w:val="00E821D5"/>
    <w:rsid w:val="00E84236"/>
    <w:rsid w:val="00EB67B3"/>
    <w:rsid w:val="00EC526B"/>
    <w:rsid w:val="00F55BB6"/>
    <w:rsid w:val="00F7195F"/>
    <w:rsid w:val="00F85BA3"/>
    <w:rsid w:val="00FC43A7"/>
    <w:rsid w:val="00FF76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C0"/>
    <w:pPr>
      <w:spacing w:after="200" w:line="276" w:lineRule="auto"/>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_wyliczenie,Kielce_wypunktowanie,lubu 1)_wypkt.,K-P_odwolanie,Lublin_odwolanie,Sl_Akapit z listą,maz_wyliczenie,opis dzialania,Akapit z listą5,A_wyliczenie1,Kielce_wypunktowanie1,lubu 1)_wypkt.1,K-P_odwolanie1,Lublin_odwolanie1,TREŚĆ"/>
    <w:basedOn w:val="Normal"/>
    <w:link w:val="ListParagraphChar"/>
    <w:uiPriority w:val="99"/>
    <w:qFormat/>
    <w:rsid w:val="00C445DE"/>
    <w:pPr>
      <w:ind w:left="720"/>
    </w:pPr>
  </w:style>
  <w:style w:type="paragraph" w:styleId="Header">
    <w:name w:val="header"/>
    <w:basedOn w:val="Normal"/>
    <w:link w:val="HeaderChar"/>
    <w:uiPriority w:val="99"/>
    <w:rsid w:val="002F51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F5144"/>
    <w:rPr>
      <w:rFonts w:ascii="Times New Roman" w:hAnsi="Times New Roman" w:cs="Times New Roman"/>
      <w:sz w:val="24"/>
      <w:szCs w:val="24"/>
    </w:rPr>
  </w:style>
  <w:style w:type="paragraph" w:styleId="Footer">
    <w:name w:val="footer"/>
    <w:basedOn w:val="Normal"/>
    <w:link w:val="FooterChar"/>
    <w:uiPriority w:val="99"/>
    <w:rsid w:val="002F51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5144"/>
    <w:rPr>
      <w:rFonts w:ascii="Times New Roman" w:hAnsi="Times New Roman" w:cs="Times New Roman"/>
      <w:sz w:val="24"/>
      <w:szCs w:val="24"/>
    </w:rPr>
  </w:style>
  <w:style w:type="character" w:styleId="Hyperlink">
    <w:name w:val="Hyperlink"/>
    <w:basedOn w:val="DefaultParagraphFont"/>
    <w:uiPriority w:val="99"/>
    <w:rsid w:val="006A0B48"/>
    <w:rPr>
      <w:color w:val="0000FF"/>
      <w:u w:val="single"/>
    </w:rPr>
  </w:style>
  <w:style w:type="character" w:customStyle="1" w:styleId="UnresolvedMention">
    <w:name w:val="Unresolved Mention"/>
    <w:basedOn w:val="DefaultParagraphFont"/>
    <w:uiPriority w:val="99"/>
    <w:semiHidden/>
    <w:rsid w:val="006A0B48"/>
    <w:rPr>
      <w:color w:val="auto"/>
      <w:shd w:val="clear" w:color="auto" w:fill="auto"/>
    </w:rPr>
  </w:style>
  <w:style w:type="character" w:styleId="CommentReference">
    <w:name w:val="annotation reference"/>
    <w:basedOn w:val="DefaultParagraphFont"/>
    <w:uiPriority w:val="99"/>
    <w:semiHidden/>
    <w:rsid w:val="00895D88"/>
    <w:rPr>
      <w:sz w:val="16"/>
      <w:szCs w:val="16"/>
    </w:rPr>
  </w:style>
  <w:style w:type="paragraph" w:styleId="CommentText">
    <w:name w:val="annotation text"/>
    <w:basedOn w:val="Normal"/>
    <w:link w:val="CommentTextChar"/>
    <w:uiPriority w:val="99"/>
    <w:semiHidden/>
    <w:rsid w:val="00895D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5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95D88"/>
    <w:rPr>
      <w:b/>
      <w:bCs/>
    </w:rPr>
  </w:style>
  <w:style w:type="character" w:customStyle="1" w:styleId="CommentSubjectChar">
    <w:name w:val="Comment Subject Char"/>
    <w:basedOn w:val="CommentTextChar"/>
    <w:link w:val="CommentSubject"/>
    <w:uiPriority w:val="99"/>
    <w:semiHidden/>
    <w:locked/>
    <w:rsid w:val="00895D88"/>
    <w:rPr>
      <w:b/>
      <w:bCs/>
    </w:rPr>
  </w:style>
  <w:style w:type="paragraph" w:styleId="Caption">
    <w:name w:val="caption"/>
    <w:basedOn w:val="Normal"/>
    <w:next w:val="Normal"/>
    <w:uiPriority w:val="99"/>
    <w:qFormat/>
    <w:rsid w:val="00B91B9F"/>
    <w:pPr>
      <w:spacing w:line="240" w:lineRule="auto"/>
    </w:pPr>
    <w:rPr>
      <w:i/>
      <w:iCs/>
      <w:color w:val="1F497D"/>
      <w:sz w:val="18"/>
      <w:szCs w:val="18"/>
    </w:rPr>
  </w:style>
  <w:style w:type="paragraph" w:customStyle="1" w:styleId="Default">
    <w:name w:val="Default"/>
    <w:uiPriority w:val="99"/>
    <w:rsid w:val="00B91B9F"/>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aliases w:val="A_wyliczenie Char,Kielce_wypunktowanie Char,lubu 1)_wypkt. Char,K-P_odwolanie Char,Lublin_odwolanie Char,Sl_Akapit z listą Char,maz_wyliczenie Char,opis dzialania Char,Akapit z listą5 Char,A_wyliczenie1 Char,lubu 1)_wypkt.1 Char"/>
    <w:basedOn w:val="DefaultParagraphFont"/>
    <w:link w:val="ListParagraph"/>
    <w:uiPriority w:val="99"/>
    <w:locked/>
    <w:rsid w:val="00B91B9F"/>
    <w:rPr>
      <w:rFonts w:ascii="Times New Roman" w:hAnsi="Times New Roman" w:cs="Times New Roman"/>
      <w:sz w:val="24"/>
      <w:szCs w:val="24"/>
    </w:rPr>
  </w:style>
  <w:style w:type="character" w:styleId="FollowedHyperlink">
    <w:name w:val="FollowedHyperlink"/>
    <w:basedOn w:val="DefaultParagraphFont"/>
    <w:uiPriority w:val="99"/>
    <w:semiHidden/>
    <w:rsid w:val="00B91B9F"/>
    <w:rPr>
      <w:color w:val="800080"/>
      <w:u w:val="single"/>
    </w:rPr>
  </w:style>
  <w:style w:type="paragraph" w:styleId="FootnoteText">
    <w:name w:val="footnote text"/>
    <w:basedOn w:val="Normal"/>
    <w:link w:val="FootnoteTextChar"/>
    <w:uiPriority w:val="99"/>
    <w:semiHidden/>
    <w:rsid w:val="00E821D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21D5"/>
    <w:rPr>
      <w:rFonts w:ascii="Times New Roman" w:hAnsi="Times New Roman" w:cs="Times New Roman"/>
      <w:sz w:val="20"/>
      <w:szCs w:val="20"/>
    </w:rPr>
  </w:style>
  <w:style w:type="character" w:styleId="FootnoteReference">
    <w:name w:val="footnote reference"/>
    <w:basedOn w:val="DefaultParagraphFont"/>
    <w:uiPriority w:val="99"/>
    <w:semiHidden/>
    <w:rsid w:val="00E821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fop.gdos.gov.pl/CRFOP/download/pdf/PL.ZIPOP.1393.PP.2608043.2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9</Pages>
  <Words>1915</Words>
  <Characters>11492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dc:creator>
  <cp:keywords/>
  <dc:description/>
  <cp:lastModifiedBy>ilonam</cp:lastModifiedBy>
  <cp:revision>8</cp:revision>
  <cp:lastPrinted>2024-04-18T10:47:00Z</cp:lastPrinted>
  <dcterms:created xsi:type="dcterms:W3CDTF">2024-03-18T09:13:00Z</dcterms:created>
  <dcterms:modified xsi:type="dcterms:W3CDTF">2024-04-18T10:48:00Z</dcterms:modified>
</cp:coreProperties>
</file>