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7A" w:rsidRDefault="00325A8F">
      <w:pPr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7 do SWZ</w:t>
      </w:r>
    </w:p>
    <w:p w:rsidR="00E9617A" w:rsidRDefault="00325A8F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E9617A" w:rsidRDefault="00325A8F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>
        <w:rPr>
          <w:rFonts w:ascii="Cambria" w:hAnsi="Cambria" w:cs="Arial"/>
          <w:b/>
          <w:sz w:val="20"/>
          <w:u w:val="single"/>
        </w:rPr>
        <w:t>U m o w a   nr ..........</w:t>
      </w:r>
    </w:p>
    <w:p w:rsidR="00E9617A" w:rsidRDefault="00E9617A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E9617A" w:rsidRDefault="00325A8F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B44714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 roku w </w:t>
      </w:r>
      <w:bookmarkStart w:id="0" w:name="_Hlk32820866"/>
      <w:r>
        <w:rPr>
          <w:rFonts w:ascii="Cambria" w:hAnsi="Cambria"/>
          <w:sz w:val="20"/>
          <w:szCs w:val="20"/>
        </w:rPr>
        <w:t xml:space="preserve">Busku - Zdroju  </w:t>
      </w:r>
      <w:bookmarkEnd w:id="0"/>
      <w:r>
        <w:rPr>
          <w:rFonts w:ascii="Cambria" w:hAnsi="Cambria"/>
          <w:sz w:val="20"/>
          <w:szCs w:val="20"/>
        </w:rPr>
        <w:t>pomiędzy:</w:t>
      </w:r>
      <w:r>
        <w:rPr>
          <w:rFonts w:ascii="Cambria" w:hAnsi="Cambria"/>
          <w:sz w:val="20"/>
          <w:szCs w:val="20"/>
        </w:rPr>
        <w:br/>
        <w:t xml:space="preserve"> </w:t>
      </w:r>
    </w:p>
    <w:p w:rsidR="00E9617A" w:rsidRDefault="00325A8F">
      <w:pPr>
        <w:shd w:val="clear" w:color="auto" w:fill="FFFFFF"/>
        <w:tabs>
          <w:tab w:val="left" w:pos="709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POWIAT BUSKI, ul. Mickiewicza 15 ;  28-100 Busko-Zdrój</w:t>
      </w:r>
    </w:p>
    <w:p w:rsidR="00E9617A" w:rsidRDefault="00325A8F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reprezentowany przez </w:t>
      </w:r>
    </w:p>
    <w:p w:rsidR="00E9617A" w:rsidRDefault="00325A8F">
      <w:pPr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……………………………………a, </w:t>
      </w:r>
    </w:p>
    <w:p w:rsidR="00E9617A" w:rsidRDefault="00325A8F">
      <w:pPr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E9617A" w:rsidRDefault="00E9617A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E9617A" w:rsidRDefault="00325A8F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>
        <w:rPr>
          <w:rFonts w:ascii="Cambria" w:hAnsi="Cambria" w:cs="Arial"/>
          <w:bCs/>
          <w:sz w:val="20"/>
        </w:rPr>
        <w:t xml:space="preserve">a  </w:t>
      </w:r>
      <w:r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E9617A" w:rsidRDefault="00325A8F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 :</w:t>
      </w:r>
    </w:p>
    <w:p w:rsidR="00E9617A" w:rsidRDefault="00325A8F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E9617A" w:rsidRDefault="00325A8F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wyniku udzielonego zamówienia publicznego w trybie podstawowym, na podstawie art. 275 pkt 1 ustawy </w:t>
      </w:r>
      <w:r>
        <w:rPr>
          <w:rFonts w:ascii="Cambria" w:hAnsi="Cambria" w:cs="Arial"/>
          <w:bCs/>
          <w:sz w:val="20"/>
          <w:szCs w:val="20"/>
        </w:rPr>
        <w:br/>
        <w:t xml:space="preserve">z dnia 11 września 2019 r. - Prawo zamówień publicznych (Dz. U. z 2021 r., poz. 1129) [zwanej dalej także „ustawa </w:t>
      </w:r>
      <w:proofErr w:type="spellStart"/>
      <w:r>
        <w:rPr>
          <w:rFonts w:ascii="Cambria" w:hAnsi="Cambria" w:cs="Arial"/>
          <w:bCs/>
          <w:sz w:val="20"/>
          <w:szCs w:val="20"/>
        </w:rPr>
        <w:t>Pzp</w:t>
      </w:r>
      <w:proofErr w:type="spellEnd"/>
      <w:r>
        <w:rPr>
          <w:rFonts w:ascii="Cambria" w:hAnsi="Cambria" w:cs="Arial"/>
          <w:bCs/>
          <w:sz w:val="20"/>
          <w:szCs w:val="20"/>
        </w:rPr>
        <w:t xml:space="preserve">”],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a </w:t>
      </w: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E9617A" w:rsidRDefault="00E9617A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</w:rPr>
      </w:pPr>
    </w:p>
    <w:p w:rsidR="00E9617A" w:rsidRDefault="00B44714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</w:rPr>
      </w:pPr>
      <w:r w:rsidRPr="00B44714">
        <w:rPr>
          <w:rFonts w:ascii="Cambria" w:hAnsi="Cambria" w:cs="Cambria"/>
          <w:b/>
          <w:sz w:val="20"/>
          <w:szCs w:val="20"/>
          <w:shd w:val="clear" w:color="auto" w:fill="D9D9D9"/>
        </w:rPr>
        <w:t>„Adaptacja i modernizacja pomieszczeń budynku A przy ul. Bohaterów Warszawy 120 na potrzeby Powiatowego Urzędu Pracy w Busku Zdroju”</w:t>
      </w:r>
    </w:p>
    <w:p w:rsidR="00E9617A" w:rsidRDefault="00325A8F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Zakres Przedmiotu umowy określa dokumentacja projektowa – przedmiar, specyfikacja techniczna wykonania </w:t>
      </w:r>
      <w:r>
        <w:rPr>
          <w:rFonts w:ascii="Cambria" w:hAnsi="Cambria" w:cs="Arial"/>
          <w:bCs/>
          <w:sz w:val="20"/>
          <w:szCs w:val="20"/>
        </w:rPr>
        <w:br/>
        <w:t>i odbioru robót budowlanych, zapisy specyfikacji warunków zamówienia.</w:t>
      </w:r>
    </w:p>
    <w:p w:rsidR="00E9617A" w:rsidRDefault="00325A8F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>
        <w:rPr>
          <w:rFonts w:ascii="Cambria" w:eastAsia="Times New Roman" w:hAnsi="Cambria" w:cs="Arial"/>
          <w:sz w:val="20"/>
          <w:szCs w:val="20"/>
        </w:rPr>
        <w:t>przedmiarem</w:t>
      </w:r>
      <w:r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:rsidR="00E9617A" w:rsidRDefault="00325A8F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(dalej harmonogram robót lub harmonogram) z uwzględnieniem terminów wykonania, który zawierać będzie:</w:t>
      </w:r>
    </w:p>
    <w:p w:rsidR="00E9617A" w:rsidRDefault="00325A8F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E9617A" w:rsidRDefault="00325A8F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20 dni od dnia upływu terminu do jego sporządzenia.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lastRenderedPageBreak/>
        <w:t>Postęp robót winien odpowiadać ww. harmonogramowi, a zachowanie uzgodnionych terminów jest podstawowym obowiązkiem Wykonawcy.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30 dni od upływu terminu do przedłużenia zaktualizowanego harmonogramu robót.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SWZ) wykonawca opracuje w terminie 5 dni, nowy aktualny harmonogram uwzględniający przedmiotowe zmiany. (harmonogram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:rsidR="00E9617A" w:rsidRDefault="00325A8F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E9617A" w:rsidRDefault="00325A8F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E9617A" w:rsidRDefault="00325A8F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E9617A" w:rsidRDefault="00325A8F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 nastąpi w terminie do</w:t>
      </w:r>
      <w:r w:rsidR="00B751EB">
        <w:rPr>
          <w:rFonts w:ascii="Cambria" w:eastAsia="Times-Roman" w:hAnsi="Cambria" w:cs="Arial"/>
          <w:b/>
          <w:sz w:val="20"/>
          <w:szCs w:val="20"/>
        </w:rPr>
        <w:t>:</w:t>
      </w:r>
      <w:r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B44714">
        <w:rPr>
          <w:rFonts w:ascii="Cambria" w:eastAsia="Times-Roman" w:hAnsi="Cambria" w:cs="Arial"/>
          <w:b/>
          <w:sz w:val="20"/>
          <w:szCs w:val="20"/>
        </w:rPr>
        <w:t>Trzech</w:t>
      </w:r>
      <w:r>
        <w:rPr>
          <w:rFonts w:ascii="Cambria" w:eastAsia="Times-Roman" w:hAnsi="Cambria" w:cs="Arial"/>
          <w:b/>
          <w:sz w:val="20"/>
          <w:szCs w:val="20"/>
        </w:rPr>
        <w:t xml:space="preserve"> mi</w:t>
      </w:r>
      <w:r w:rsidR="00B751EB">
        <w:rPr>
          <w:rFonts w:ascii="Cambria" w:eastAsia="Times-Roman" w:hAnsi="Cambria" w:cs="Arial"/>
          <w:b/>
          <w:sz w:val="20"/>
          <w:szCs w:val="20"/>
        </w:rPr>
        <w:t>esięcy od dnia podpisania umowy</w:t>
      </w:r>
      <w:r w:rsidR="00B44714">
        <w:rPr>
          <w:rFonts w:ascii="Cambria" w:eastAsia="Times-Roman" w:hAnsi="Cambria" w:cs="Arial"/>
          <w:b/>
          <w:sz w:val="20"/>
          <w:szCs w:val="20"/>
        </w:rPr>
        <w:t>.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E9617A" w:rsidRDefault="00325A8F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E9617A" w:rsidRDefault="00325A8F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E9617A" w:rsidRDefault="00325A8F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E9617A" w:rsidRDefault="00325A8F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poinformuje o tym fakcie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E9617A" w:rsidRDefault="00325A8F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E9617A" w:rsidRDefault="00325A8F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pełną odpowiedzialność wobec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E9617A" w:rsidRDefault="00325A8F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7. </w:t>
      </w:r>
      <w:r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437, 447, 464 i 465 ustawy PZP.</w:t>
      </w:r>
    </w:p>
    <w:p w:rsidR="00E9617A" w:rsidRDefault="00325A8F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1)</w:t>
      </w:r>
      <w:r>
        <w:rPr>
          <w:rFonts w:ascii="Cambria" w:hAnsi="Cambria" w:cs="Arial"/>
          <w:b w:val="0"/>
          <w:bCs/>
          <w:sz w:val="20"/>
        </w:rPr>
        <w:tab/>
      </w:r>
      <w:r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9617A" w:rsidRDefault="00325A8F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2)</w:t>
      </w:r>
      <w:r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E9617A" w:rsidRDefault="00325A8F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E9617A" w:rsidRDefault="00325A8F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w umowie podstawowej pomiędzy Zamawiającym i Wykonawcą </w:t>
      </w:r>
    </w:p>
    <w:p w:rsidR="00E9617A" w:rsidRDefault="00325A8F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9617A" w:rsidRDefault="00325A8F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E9617A" w:rsidRDefault="00325A8F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E9617A" w:rsidRDefault="00325A8F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>
        <w:rPr>
          <w:rFonts w:ascii="Cambria" w:hAnsi="Cambria" w:cs="Arial"/>
          <w:b w:val="0"/>
          <w:sz w:val="20"/>
        </w:rPr>
        <w:t>Niezgłoszenie pisemnych zastrzeżeń</w:t>
      </w:r>
      <w:r>
        <w:rPr>
          <w:rFonts w:ascii="Cambria" w:hAnsi="Cambria" w:cs="Arial"/>
          <w:b w:val="0"/>
          <w:bCs/>
          <w:sz w:val="20"/>
        </w:rPr>
        <w:t xml:space="preserve"> w terminie wskazanym </w:t>
      </w:r>
      <w:r>
        <w:rPr>
          <w:rFonts w:ascii="Cambria" w:hAnsi="Cambria" w:cs="Arial"/>
          <w:b w:val="0"/>
          <w:sz w:val="20"/>
        </w:rPr>
        <w:t>uważa się projekt umowy za zaakceptowany.</w:t>
      </w:r>
    </w:p>
    <w:p w:rsidR="00E9617A" w:rsidRDefault="00325A8F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4)</w:t>
      </w:r>
      <w:r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>
        <w:rPr>
          <w:rFonts w:ascii="Cambria" w:hAnsi="Cambria" w:cs="Arial"/>
          <w:b w:val="0"/>
          <w:bCs/>
          <w:sz w:val="20"/>
        </w:rPr>
        <w:t>.</w:t>
      </w:r>
    </w:p>
    <w:p w:rsidR="00E9617A" w:rsidRDefault="00325A8F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8.</w:t>
      </w:r>
      <w:r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E9617A" w:rsidRDefault="00325A8F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Jeżeli zmiana albo rezygnacja z podwykonawcy dotyczy podmiotu, na którego zasoby Wykonawca powoływał się, na zasadach określonych w art. 118 ust. 1 ustawy </w:t>
      </w:r>
      <w:proofErr w:type="spellStart"/>
      <w:r>
        <w:rPr>
          <w:rFonts w:ascii="Cambria" w:hAnsi="Cambria" w:cs="Arial"/>
          <w:b w:val="0"/>
          <w:sz w:val="20"/>
        </w:rPr>
        <w:t>Pzp</w:t>
      </w:r>
      <w:proofErr w:type="spellEnd"/>
      <w:r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>
        <w:rPr>
          <w:rFonts w:ascii="Cambria" w:hAnsi="Cambria" w:cs="Arial"/>
          <w:b w:val="0"/>
          <w:sz w:val="20"/>
        </w:rPr>
        <w:t>Pzp</w:t>
      </w:r>
      <w:proofErr w:type="spellEnd"/>
      <w:r>
        <w:rPr>
          <w:rFonts w:ascii="Cambria" w:hAnsi="Cambria" w:cs="Arial"/>
          <w:b w:val="0"/>
          <w:sz w:val="20"/>
        </w:rPr>
        <w:t>.</w:t>
      </w:r>
    </w:p>
    <w:p w:rsidR="00E9617A" w:rsidRDefault="00325A8F">
      <w:pPr>
        <w:pStyle w:val="Tytu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E9617A" w:rsidRDefault="00E9617A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E9617A" w:rsidRDefault="00E9617A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E9617A" w:rsidRDefault="00325A8F">
      <w:pPr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E9617A" w:rsidRDefault="00325A8F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E9617A" w:rsidRDefault="00325A8F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E9617A" w:rsidRDefault="00325A8F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 przypadku zmiany składu osobowego Personelu Wykonawcy zapisy pkt.1 powyżej stosuje się odpowiednio;</w:t>
      </w:r>
    </w:p>
    <w:p w:rsidR="00E9617A" w:rsidRDefault="00325A8F">
      <w:pPr>
        <w:pStyle w:val="Akapitzlist"/>
        <w:numPr>
          <w:ilvl w:val="0"/>
          <w:numId w:val="47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każde żądanie Zamawiającego,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:rsidR="00E9617A" w:rsidRDefault="00325A8F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E9617A" w:rsidRDefault="00325A8F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E9617A" w:rsidRDefault="00325A8F">
      <w:pPr>
        <w:pStyle w:val="Akapitzlist"/>
        <w:spacing w:after="120"/>
        <w:ind w:left="78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E9617A" w:rsidRDefault="00E9617A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E9617A" w:rsidRDefault="00325A8F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działającego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 xml:space="preserve">Dz. U. z 2020 r. poz. 1333 z </w:t>
      </w:r>
      <w:proofErr w:type="spellStart"/>
      <w:r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>
        <w:rPr>
          <w:rFonts w:ascii="Cambria" w:hAnsi="Cambria" w:cs="Arial"/>
          <w:sz w:val="20"/>
          <w:szCs w:val="20"/>
        </w:rPr>
        <w:t>).</w:t>
      </w:r>
    </w:p>
    <w:p w:rsidR="00E9617A" w:rsidRDefault="00325A8F">
      <w:pPr>
        <w:pStyle w:val="Nagwek1"/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Ustanowionym przez Wykonawcę </w:t>
      </w:r>
      <w:r>
        <w:rPr>
          <w:rFonts w:cs="Arial"/>
          <w:b w:val="0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 w:rsidR="00E9617A" w:rsidRDefault="00325A8F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E9617A" w:rsidRDefault="00325A8F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 xml:space="preserve">Dz. U. z 2020 r. poz. 1333 z </w:t>
      </w:r>
      <w:proofErr w:type="spellStart"/>
      <w:r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>
        <w:rPr>
          <w:rFonts w:cs="Arial"/>
          <w:b w:val="0"/>
          <w:sz w:val="20"/>
          <w:szCs w:val="20"/>
        </w:rPr>
        <w:t>). – dalej  również ustawy PB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:rsidR="00E9617A" w:rsidRDefault="00325A8F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9617A" w:rsidRDefault="00325A8F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E9617A" w:rsidRDefault="00325A8F">
      <w:pPr>
        <w:numPr>
          <w:ilvl w:val="0"/>
          <w:numId w:val="13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:rsidR="00E9617A" w:rsidRDefault="00325A8F">
      <w:pPr>
        <w:numPr>
          <w:ilvl w:val="0"/>
          <w:numId w:val="13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E9617A" w:rsidRDefault="00325A8F">
      <w:pPr>
        <w:numPr>
          <w:ilvl w:val="0"/>
          <w:numId w:val="13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>
        <w:rPr>
          <w:rFonts w:ascii="Cambria" w:hAnsi="Cambria" w:cs="Arial"/>
          <w:sz w:val="20"/>
          <w:szCs w:val="20"/>
        </w:rPr>
        <w:tab/>
      </w:r>
    </w:p>
    <w:p w:rsidR="00E9617A" w:rsidRDefault="00325A8F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9617A" w:rsidRDefault="00325A8F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E9617A" w:rsidRDefault="00325A8F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E9617A" w:rsidRDefault="00325A8F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E9617A" w:rsidRDefault="00325A8F">
      <w:pPr>
        <w:numPr>
          <w:ilvl w:val="0"/>
          <w:numId w:val="14"/>
        </w:numPr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10 ust. 1 </w:t>
      </w:r>
      <w:r>
        <w:rPr>
          <w:rFonts w:ascii="Cambria" w:hAnsi="Cambria" w:cs="Arial"/>
          <w:sz w:val="20"/>
          <w:szCs w:val="20"/>
        </w:rPr>
        <w:t xml:space="preserve">ceny brutto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E9617A" w:rsidRDefault="00325A8F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E9617A" w:rsidRDefault="00325A8F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E9617A" w:rsidRDefault="00E9617A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E9617A" w:rsidRDefault="00325A8F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:rsidR="00E9617A" w:rsidRDefault="00325A8F">
      <w:pPr>
        <w:numPr>
          <w:ilvl w:val="0"/>
          <w:numId w:val="16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E9617A" w:rsidRDefault="00325A8F">
      <w:pPr>
        <w:numPr>
          <w:ilvl w:val="0"/>
          <w:numId w:val="16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E9617A" w:rsidRDefault="00325A8F">
      <w:pPr>
        <w:numPr>
          <w:ilvl w:val="0"/>
          <w:numId w:val="16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Zapewni dozór terenu budowy jak również ochronę znajdującego się na nim mienia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E9617A" w:rsidRDefault="00325A8F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E9617A" w:rsidRDefault="00325A8F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a  zgodnie z art.10 ustawy BP  oraz przedmiaru, specyfikacji technicznej  wykonania i odbioru robót budowlanych.</w:t>
      </w:r>
    </w:p>
    <w:p w:rsidR="00E9617A" w:rsidRDefault="00325A8F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i urządzenia muszą być zgodne z dokumentacją projektową.</w:t>
      </w:r>
    </w:p>
    <w:p w:rsidR="00E9617A" w:rsidRDefault="00325A8F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E9617A" w:rsidRDefault="00325A8F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własny koszt.</w:t>
      </w:r>
    </w:p>
    <w:p w:rsidR="00E9617A" w:rsidRDefault="00325A8F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:rsidR="00E9617A" w:rsidRDefault="00325A8F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10</w:t>
      </w:r>
    </w:p>
    <w:p w:rsidR="00E9617A" w:rsidRDefault="00325A8F">
      <w:pPr>
        <w:numPr>
          <w:ilvl w:val="0"/>
          <w:numId w:val="33"/>
        </w:numPr>
        <w:tabs>
          <w:tab w:val="left" w:pos="709"/>
        </w:tabs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Cena   brutto wykonania Przedmiotu umowy wynosi:</w:t>
      </w:r>
    </w:p>
    <w:p w:rsidR="00E9617A" w:rsidRDefault="00325A8F">
      <w:pPr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E9617A" w:rsidRDefault="00325A8F">
      <w:pPr>
        <w:numPr>
          <w:ilvl w:val="0"/>
          <w:numId w:val="33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E9617A" w:rsidRDefault="00325A8F">
      <w:pPr>
        <w:pStyle w:val="Style7"/>
        <w:widowControl/>
        <w:numPr>
          <w:ilvl w:val="0"/>
          <w:numId w:val="33"/>
        </w:numPr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E9617A" w:rsidRDefault="00325A8F">
      <w:pPr>
        <w:pStyle w:val="Standard"/>
        <w:numPr>
          <w:ilvl w:val="0"/>
          <w:numId w:val="33"/>
        </w:numPr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 Kodeksu cywilnego.</w:t>
      </w:r>
    </w:p>
    <w:p w:rsidR="00E9617A" w:rsidRDefault="00325A8F">
      <w:pPr>
        <w:numPr>
          <w:ilvl w:val="0"/>
          <w:numId w:val="33"/>
        </w:numPr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</w:t>
      </w:r>
      <w:r w:rsidR="00B751EB">
        <w:rPr>
          <w:rFonts w:ascii="Cambria" w:hAnsi="Cambria" w:cs="Cambria"/>
          <w:sz w:val="20"/>
          <w:szCs w:val="20"/>
        </w:rPr>
        <w:t xml:space="preserve">przypadku ich braku </w:t>
      </w:r>
      <w:proofErr w:type="spellStart"/>
      <w:r w:rsidR="00B751EB">
        <w:rPr>
          <w:rFonts w:ascii="Cambria" w:hAnsi="Cambria" w:cs="Cambria"/>
          <w:sz w:val="20"/>
          <w:szCs w:val="20"/>
        </w:rPr>
        <w:t>sekocenbud</w:t>
      </w:r>
      <w:proofErr w:type="spellEnd"/>
      <w:r w:rsidR="00B751EB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 nałoży karę umowną zgodnie z zapisami umowy.</w:t>
      </w:r>
    </w:p>
    <w:p w:rsidR="00E9617A" w:rsidRDefault="00325A8F">
      <w:pPr>
        <w:numPr>
          <w:ilvl w:val="0"/>
          <w:numId w:val="33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E9617A" w:rsidRDefault="00325A8F">
      <w:pPr>
        <w:numPr>
          <w:ilvl w:val="0"/>
          <w:numId w:val="3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E9617A" w:rsidRDefault="00325A8F">
      <w:pPr>
        <w:numPr>
          <w:ilvl w:val="0"/>
          <w:numId w:val="3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9617A" w:rsidRDefault="00325A8F">
      <w:pPr>
        <w:numPr>
          <w:ilvl w:val="0"/>
          <w:numId w:val="3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 w:rsidR="00E9617A" w:rsidRDefault="00325A8F">
      <w:pPr>
        <w:pStyle w:val="Akapitzlist"/>
        <w:numPr>
          <w:ilvl w:val="0"/>
          <w:numId w:val="33"/>
        </w:numPr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E9617A" w:rsidRDefault="00325A8F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Cambria" w:hAnsi="Cambria"/>
          <w:sz w:val="20"/>
          <w:szCs w:val="20"/>
        </w:rPr>
        <w:t>split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payment</w:t>
      </w:r>
      <w:proofErr w:type="spellEnd"/>
      <w:r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E9617A" w:rsidRDefault="00325A8F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E9617A" w:rsidRDefault="00325A8F">
      <w:pPr>
        <w:pStyle w:val="Akapitzlist"/>
        <w:numPr>
          <w:ilvl w:val="0"/>
          <w:numId w:val="39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E9617A" w:rsidRDefault="00325A8F">
      <w:pPr>
        <w:pStyle w:val="Akapitzlist"/>
        <w:numPr>
          <w:ilvl w:val="0"/>
          <w:numId w:val="39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E9617A" w:rsidRDefault="00325A8F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E9617A" w:rsidRDefault="00325A8F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E9617A" w:rsidRDefault="00E9617A">
      <w:pPr>
        <w:spacing w:after="120" w:line="276" w:lineRule="auto"/>
        <w:ind w:left="720"/>
        <w:jc w:val="both"/>
        <w:rPr>
          <w:rFonts w:ascii="Cambria" w:hAnsi="Cambria"/>
          <w:sz w:val="20"/>
          <w:szCs w:val="20"/>
        </w:rPr>
      </w:pP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11</w:t>
      </w:r>
    </w:p>
    <w:p w:rsidR="00E9617A" w:rsidRDefault="00325A8F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>
        <w:rPr>
          <w:rFonts w:ascii="Cambria" w:hAnsi="Cambria" w:cs="Arial"/>
          <w:color w:val="000000"/>
          <w:sz w:val="20"/>
          <w:szCs w:val="20"/>
        </w:rPr>
        <w:t xml:space="preserve">dopuszcza częściowe fakturowanie robót. </w:t>
      </w:r>
    </w:p>
    <w:p w:rsidR="00E9617A" w:rsidRDefault="00325A8F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Wykonawca jest </w:t>
      </w:r>
      <w:r>
        <w:rPr>
          <w:rFonts w:ascii="Cambria" w:hAnsi="Cambria" w:cs="Arial"/>
          <w:sz w:val="20"/>
          <w:szCs w:val="20"/>
        </w:rPr>
        <w:t xml:space="preserve">uprawniony do wystawienia faktury częściowej na kwotę nie więcej niż 90% wartości przedmiotu zamówienia oraz faktury końcowej obejmującej pozostałe 10% wartości przedmiotu zamówienia. </w:t>
      </w:r>
    </w:p>
    <w:p w:rsidR="00E9617A" w:rsidRDefault="00325A8F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E9617A" w:rsidRDefault="00325A8F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>
        <w:rPr>
          <w:rFonts w:ascii="Cambria" w:eastAsia="TTE1FA5458t00" w:hAnsi="Cambria" w:cs="Arial"/>
          <w:color w:val="000000"/>
          <w:sz w:val="20"/>
          <w:szCs w:val="20"/>
        </w:rPr>
        <w:t>ń</w:t>
      </w:r>
      <w:r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>
        <w:rPr>
          <w:rFonts w:ascii="Cambria" w:eastAsia="TTE1FA5458t00" w:hAnsi="Cambria" w:cs="Arial"/>
          <w:color w:val="000000"/>
          <w:sz w:val="20"/>
          <w:szCs w:val="20"/>
        </w:rPr>
        <w:t>ą</w:t>
      </w:r>
      <w:r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E9617A" w:rsidRDefault="00325A8F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bCs/>
          <w:sz w:val="20"/>
          <w:szCs w:val="20"/>
        </w:rPr>
        <w:t>prawidłowo wystawionej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faktury wraz  z protokołem odbioru robót</w:t>
      </w:r>
      <w:r w:rsidR="00B751EB">
        <w:rPr>
          <w:rFonts w:ascii="Cambria" w:hAnsi="Cambria" w:cs="Arial"/>
          <w:sz w:val="20"/>
          <w:szCs w:val="20"/>
        </w:rPr>
        <w:t xml:space="preserve"> </w:t>
      </w:r>
      <w:r w:rsidR="00B751EB">
        <w:rPr>
          <w:rFonts w:ascii="Cambria" w:hAnsi="Cambria" w:cs="Arial"/>
          <w:color w:val="FF0000"/>
          <w:sz w:val="20"/>
          <w:szCs w:val="20"/>
        </w:rPr>
        <w:t>częściowych i</w:t>
      </w:r>
      <w:r>
        <w:rPr>
          <w:rFonts w:ascii="Cambria" w:hAnsi="Cambria" w:cs="Arial"/>
          <w:sz w:val="20"/>
          <w:szCs w:val="20"/>
        </w:rPr>
        <w:t xml:space="preserve"> końcowych z kompletnymi dokumentami odbiorowymi, </w:t>
      </w:r>
    </w:p>
    <w:p w:rsidR="00E9617A" w:rsidRDefault="00325A8F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E9617A" w:rsidRDefault="00325A8F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9617A" w:rsidRDefault="00325A8F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E9617A" w:rsidRDefault="00325A8F">
      <w:pPr>
        <w:pStyle w:val="w2zmart"/>
        <w:numPr>
          <w:ilvl w:val="0"/>
          <w:numId w:val="6"/>
        </w:numPr>
        <w:tabs>
          <w:tab w:val="left" w:pos="426"/>
        </w:tabs>
        <w:spacing w:before="280" w:after="0" w:line="276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9617A" w:rsidRDefault="00325A8F">
      <w:pPr>
        <w:numPr>
          <w:ilvl w:val="0"/>
          <w:numId w:val="6"/>
        </w:numPr>
        <w:tabs>
          <w:tab w:val="left" w:pos="36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 Zamawiający przed dokonaniem płatności o której mowa w ust. 5 zwróci się do Wykonawcy aby ten </w:t>
      </w:r>
      <w:r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:rsidR="00E9617A" w:rsidRDefault="00325A8F">
      <w:pPr>
        <w:pStyle w:val="w5pktart"/>
        <w:spacing w:before="280" w:after="280" w:line="276" w:lineRule="auto"/>
        <w:ind w:left="851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E9617A" w:rsidRDefault="00325A8F">
      <w:pPr>
        <w:pStyle w:val="w5pktart"/>
        <w:spacing w:before="280" w:after="280" w:line="276" w:lineRule="auto"/>
        <w:ind w:left="851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9617A" w:rsidRDefault="00325A8F">
      <w:pPr>
        <w:pStyle w:val="w5pktart"/>
        <w:spacing w:before="280" w:after="280" w:line="276" w:lineRule="auto"/>
        <w:ind w:left="851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E9617A" w:rsidRDefault="00325A8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:rsidR="00E9617A" w:rsidRDefault="00325A8F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 podpisaniem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złoży u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E9617A" w:rsidRDefault="00325A8F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>
        <w:rPr>
          <w:rFonts w:ascii="Cambria" w:hAnsi="Cambria" w:cs="Arial"/>
          <w:b/>
          <w:sz w:val="20"/>
          <w:szCs w:val="20"/>
        </w:rPr>
        <w:t xml:space="preserve">5 % </w:t>
      </w:r>
      <w:r>
        <w:rPr>
          <w:rFonts w:ascii="Cambria" w:hAnsi="Cambria" w:cs="Arial"/>
          <w:sz w:val="20"/>
          <w:szCs w:val="20"/>
        </w:rPr>
        <w:t xml:space="preserve">ceny brutto wykonania Przedmiotu umowy, tj. kwoty </w:t>
      </w:r>
    </w:p>
    <w:p w:rsidR="00E9617A" w:rsidRDefault="00325A8F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...................- PLN</w:t>
      </w:r>
      <w:r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E9617A" w:rsidRDefault="00325A8F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E9617A" w:rsidRDefault="00325A8F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E9617A" w:rsidRDefault="00325A8F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i gwarancji, zwrócona zostanie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 ciągu 15 dni po upływie okresu rękojmi za wady i gwarancji.</w:t>
      </w:r>
    </w:p>
    <w:p w:rsidR="00E9617A" w:rsidRDefault="00325A8F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Zwrócona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E9617A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E9617A" w:rsidRDefault="00325A8F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</w:r>
      <w:r>
        <w:rPr>
          <w:rFonts w:ascii="Cambria" w:hAnsi="Cambria" w:cs="Arial"/>
          <w:sz w:val="20"/>
          <w:szCs w:val="20"/>
        </w:rPr>
        <w:br/>
        <w:t>w szczególności techniczno-budowlanymi, normami oraz przepisami BHP.</w:t>
      </w:r>
    </w:p>
    <w:p w:rsidR="00E9617A" w:rsidRDefault="00E9617A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E9617A" w:rsidRDefault="00325A8F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>
        <w:rPr>
          <w:rFonts w:ascii="Cambria" w:hAnsi="Cambria" w:cs="Arial"/>
          <w:sz w:val="20"/>
          <w:szCs w:val="20"/>
        </w:rPr>
        <w:br/>
        <w:t xml:space="preserve">i zawiadomi 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325A8F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 zawiadomienia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załącza;</w:t>
      </w:r>
    </w:p>
    <w:p w:rsidR="00E9617A" w:rsidRDefault="00325A8F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dziennik budowy potwierdzaj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cy gotowo</w:t>
      </w:r>
      <w:r>
        <w:rPr>
          <w:rFonts w:ascii="Cambria" w:eastAsia="TTE1FA5458t00" w:hAnsi="Cambria" w:cs="Arial"/>
          <w:sz w:val="20"/>
          <w:szCs w:val="20"/>
        </w:rPr>
        <w:t xml:space="preserve">ść </w:t>
      </w:r>
      <w:r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nadzoru.</w:t>
      </w:r>
    </w:p>
    <w:p w:rsidR="00E9617A" w:rsidRDefault="00325A8F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" w:hAnsi="Cambria" w:cs="Arial"/>
          <w:sz w:val="20"/>
          <w:szCs w:val="20"/>
        </w:rPr>
        <w:t>ć</w:t>
      </w:r>
      <w:r>
        <w:rPr>
          <w:rFonts w:ascii="Cambria" w:eastAsia="Times-Roman" w:hAnsi="Cambria" w:cs="Arial"/>
          <w:sz w:val="20"/>
          <w:szCs w:val="20"/>
        </w:rPr>
        <w:t>:</w:t>
      </w:r>
    </w:p>
    <w:p w:rsidR="00E9617A" w:rsidRDefault="00325A8F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dokumentacj</w:t>
      </w:r>
      <w:r>
        <w:rPr>
          <w:rFonts w:ascii="Cambria" w:eastAsia="TTE1FA5458t00" w:hAnsi="Cambria" w:cs="Arial"/>
          <w:sz w:val="20"/>
          <w:szCs w:val="20"/>
        </w:rPr>
        <w:t xml:space="preserve">e </w:t>
      </w:r>
      <w:r>
        <w:rPr>
          <w:rFonts w:ascii="Cambria" w:eastAsia="Times-Roman" w:hAnsi="Cambria" w:cs="Arial"/>
          <w:sz w:val="20"/>
          <w:szCs w:val="20"/>
        </w:rPr>
        <w:t>powykonawcz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>z naniesionymi zmianami podpisan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 xml:space="preserve">przez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nadzoru,</w:t>
      </w:r>
    </w:p>
    <w:p w:rsidR="00E9617A" w:rsidRDefault="00325A8F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>
        <w:rPr>
          <w:rFonts w:ascii="Cambria" w:eastAsia="TTE1FA5458t00" w:hAnsi="Cambria" w:cs="Arial"/>
          <w:sz w:val="20"/>
          <w:szCs w:val="20"/>
        </w:rPr>
        <w:t>a</w:t>
      </w:r>
      <w:r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tni</w:t>
      </w:r>
      <w:r>
        <w:rPr>
          <w:rFonts w:ascii="Cambria" w:eastAsia="TTE1FA5458t00" w:hAnsi="Cambria" w:cs="Arial"/>
          <w:sz w:val="20"/>
          <w:szCs w:val="20"/>
        </w:rPr>
        <w:t>ę</w:t>
      </w:r>
      <w:r>
        <w:rPr>
          <w:rFonts w:ascii="Cambria" w:eastAsia="Times-Roman" w:hAnsi="Cambria" w:cs="Arial"/>
          <w:sz w:val="20"/>
          <w:szCs w:val="20"/>
        </w:rPr>
        <w:t>ty – 2 egz.,</w:t>
      </w:r>
    </w:p>
    <w:p w:rsidR="00E9617A" w:rsidRDefault="00325A8F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lastRenderedPageBreak/>
        <w:t>atesty, certyfikaty i aprobaty zgodno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>
        <w:rPr>
          <w:rFonts w:ascii="Cambria" w:eastAsia="TTE1FA5458t00" w:hAnsi="Cambria" w:cs="Arial"/>
          <w:sz w:val="20"/>
          <w:szCs w:val="20"/>
        </w:rPr>
        <w:t xml:space="preserve">ą techniczną </w:t>
      </w:r>
      <w:r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>
        <w:rPr>
          <w:rFonts w:ascii="Cambria" w:eastAsia="Times-Roman" w:hAnsi="Cambria" w:cs="Arial"/>
          <w:sz w:val="20"/>
          <w:szCs w:val="20"/>
        </w:rPr>
        <w:t>egz</w:t>
      </w:r>
      <w:proofErr w:type="spellEnd"/>
      <w:r>
        <w:rPr>
          <w:rFonts w:ascii="Cambria" w:eastAsia="Times-Roman" w:hAnsi="Cambria" w:cs="Arial"/>
          <w:sz w:val="20"/>
          <w:szCs w:val="20"/>
        </w:rPr>
        <w:t>,</w:t>
      </w:r>
    </w:p>
    <w:p w:rsidR="00E9617A" w:rsidRDefault="00325A8F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E9617A" w:rsidRDefault="00325A8F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325A8F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:rsidR="00E9617A" w:rsidRDefault="00325A8F">
      <w:pPr>
        <w:numPr>
          <w:ilvl w:val="0"/>
          <w:numId w:val="19"/>
        </w:numPr>
        <w:tabs>
          <w:tab w:val="left" w:pos="426"/>
          <w:tab w:val="left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E9617A" w:rsidRDefault="00325A8F">
      <w:pPr>
        <w:tabs>
          <w:tab w:val="left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E9617A" w:rsidRDefault="00325A8F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E9617A" w:rsidRDefault="00325A8F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E9617A" w:rsidRDefault="00325A8F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4)  </w:t>
      </w:r>
      <w:r>
        <w:rPr>
          <w:rFonts w:ascii="Cambria" w:hAnsi="Cambria" w:cs="Arial"/>
          <w:b/>
          <w:sz w:val="20"/>
          <w:szCs w:val="20"/>
        </w:rPr>
        <w:t>nieistotne nienadające się do</w:t>
      </w:r>
      <w:r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 w:rsidR="00E9617A" w:rsidRDefault="00325A8F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E9617A" w:rsidRDefault="00325A8F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E9617A" w:rsidRDefault="00325A8F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br/>
        <w:t xml:space="preserve">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E9617A" w:rsidRDefault="00325A8F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E9617A" w:rsidRDefault="00325A8F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E9617A" w:rsidRDefault="00325A8F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</w:t>
      </w:r>
      <w:r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E9617A" w:rsidRDefault="00325A8F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E9617A" w:rsidRDefault="00325A8F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 </w:t>
      </w:r>
    </w:p>
    <w:p w:rsidR="00E9617A" w:rsidRDefault="00325A8F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E9617A" w:rsidRDefault="00325A8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E9617A" w:rsidRDefault="00325A8F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E9617A" w:rsidRDefault="00325A8F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E9617A" w:rsidRDefault="00325A8F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E9617A" w:rsidRDefault="00325A8F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E9617A" w:rsidRDefault="00325A8F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1"/>
      <w:r>
        <w:rPr>
          <w:rFonts w:ascii="Cambria" w:hAnsi="Cambria" w:cs="Arial"/>
          <w:sz w:val="20"/>
          <w:szCs w:val="20"/>
        </w:rPr>
        <w:t>: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>
        <w:rPr>
          <w:rFonts w:ascii="Cambria" w:hAnsi="Cambria" w:cs="Arial"/>
          <w:sz w:val="20"/>
          <w:szCs w:val="20"/>
        </w:rPr>
        <w:t>cy</w:t>
      </w:r>
      <w:proofErr w:type="spellEnd"/>
      <w:r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E9617A" w:rsidRDefault="00325A8F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E9617A" w:rsidRDefault="00325A8F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:rsidR="00E9617A" w:rsidRDefault="00325A8F">
      <w:pPr>
        <w:pStyle w:val="Akapitzlist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E9617A" w:rsidRDefault="00325A8F">
      <w:pPr>
        <w:pStyle w:val="Akapitzlist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E9617A" w:rsidRDefault="00325A8F">
      <w:pPr>
        <w:pStyle w:val="Akapitzlist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E9617A" w:rsidRDefault="00325A8F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E9617A" w:rsidRDefault="00325A8F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E9617A" w:rsidRDefault="00325A8F">
      <w:pPr>
        <w:numPr>
          <w:ilvl w:val="0"/>
          <w:numId w:val="21"/>
        </w:numPr>
        <w:tabs>
          <w:tab w:val="left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 w:rsidR="00E9617A" w:rsidRDefault="00325A8F">
      <w:pPr>
        <w:pStyle w:val="Akapitzlist"/>
        <w:numPr>
          <w:ilvl w:val="0"/>
          <w:numId w:val="22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E9617A" w:rsidRDefault="00E9617A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E9617A" w:rsidRDefault="00325A8F">
      <w:pPr>
        <w:pStyle w:val="Akapitzlist"/>
        <w:numPr>
          <w:ilvl w:val="0"/>
          <w:numId w:val="22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E9617A" w:rsidRDefault="00E9617A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E9617A" w:rsidRDefault="00325A8F">
      <w:pPr>
        <w:pStyle w:val="Akapitzlist"/>
        <w:numPr>
          <w:ilvl w:val="0"/>
          <w:numId w:val="22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E9617A" w:rsidRDefault="00325A8F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kodeksu cywilnego) z przyczyn zależnych od Wykonawcy w wysokości 20 % wynagrodzenia brutto określonego w § 10 ust. 1 umowy</w:t>
      </w:r>
    </w:p>
    <w:p w:rsidR="00E9617A" w:rsidRDefault="00325A8F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 xml:space="preserve">zapłaci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E9617A" w:rsidRDefault="00325A8F">
      <w:pPr>
        <w:pStyle w:val="Tekstpodstawowywcity2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E9617A" w:rsidRDefault="00325A8F">
      <w:pPr>
        <w:pStyle w:val="Tekstpodstawowywcity2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E9617A" w:rsidRDefault="00325A8F">
      <w:pPr>
        <w:pStyle w:val="Tekstpodstawowywcity2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9617A" w:rsidRDefault="00325A8F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325A8F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>
        <w:rPr>
          <w:rFonts w:ascii="Cambria" w:hAnsi="Cambria" w:cs="Arial"/>
          <w:sz w:val="20"/>
          <w:szCs w:val="20"/>
        </w:rPr>
        <w:t>.</w:t>
      </w:r>
    </w:p>
    <w:p w:rsidR="00E9617A" w:rsidRDefault="00325A8F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 górny limit kar umownych na poziomie do 20% wynagrodzenia brutto określonego w § 10 ust. 1 umowy.</w:t>
      </w:r>
    </w:p>
    <w:p w:rsidR="00E9617A" w:rsidRDefault="00325A8F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E9617A" w:rsidRDefault="00325A8F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E9617A" w:rsidRDefault="00325A8F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E9617A" w:rsidRDefault="00325A8F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Zamawiającemu,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 w:rsidR="00E9617A" w:rsidRDefault="00325A8F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:rsidR="00E9617A" w:rsidRDefault="00325A8F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 dni;</w:t>
      </w:r>
    </w:p>
    <w:p w:rsidR="00E9617A" w:rsidRDefault="00325A8F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E9617A" w:rsidRDefault="00325A8F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E9617A" w:rsidRDefault="00325A8F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4)</w:t>
      </w:r>
      <w:r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E9617A" w:rsidRDefault="00325A8F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5)</w:t>
      </w:r>
      <w:r>
        <w:rPr>
          <w:rFonts w:ascii="Cambria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E9617A" w:rsidRDefault="00325A8F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6)</w:t>
      </w:r>
      <w:r>
        <w:rPr>
          <w:rFonts w:ascii="Cambria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:rsidR="00E9617A" w:rsidRDefault="00325A8F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E9617A" w:rsidRDefault="00325A8F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niezwłocznie przerwie i zabezpieczy przerwane Roboty w zakresie uzgodnionym w protokole inwentaryzacji, na koszt tej Strony, z przyczyn której dotyczących doszło do odstąpienia od Umowy.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</w:t>
      </w:r>
      <w:r>
        <w:rPr>
          <w:rFonts w:ascii="Cambria" w:hAnsi="Cambria" w:cs="Arial"/>
          <w:sz w:val="20"/>
          <w:szCs w:val="20"/>
        </w:rPr>
        <w:lastRenderedPageBreak/>
        <w:t xml:space="preserve">odstąpienia, a także na ustalone umową kary umowne, a także możliwość skorzystania z zabezpieczenia należytego wykonania umowy w zakresie robót wykonanych przez Wykonawcę do dnia odstąpienia. 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E9617A" w:rsidRDefault="00325A8F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9617A" w:rsidRDefault="00325A8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:rsidR="00E9617A" w:rsidRDefault="00325A8F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 września 2019 r. Prawo zamówień publicznych (tekst jednolity </w:t>
      </w:r>
      <w:r>
        <w:rPr>
          <w:rFonts w:ascii="Cambria" w:hAnsi="Cambria" w:cs="Arial"/>
          <w:bCs/>
          <w:sz w:val="20"/>
          <w:szCs w:val="20"/>
        </w:rPr>
        <w:t>Dz. U. z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pacing w:val="-4"/>
          <w:sz w:val="20"/>
          <w:szCs w:val="20"/>
        </w:rPr>
        <w:t>2021 r. poz. 1129</w:t>
      </w:r>
      <w:r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E9617A" w:rsidRDefault="00325A8F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>
        <w:rPr>
          <w:rFonts w:ascii="Cambria" w:hAnsi="Cambria" w:cs="Arial"/>
          <w:b/>
          <w:sz w:val="20"/>
          <w:szCs w:val="20"/>
        </w:rPr>
        <w:t>Zamawiającego.</w:t>
      </w:r>
    </w:p>
    <w:p w:rsidR="00E9617A" w:rsidRDefault="00325A8F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:rsidR="00E9617A" w:rsidRDefault="00325A8F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E9617A" w:rsidRDefault="00E9617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E9617A" w:rsidRDefault="00325A8F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:rsidR="00E9617A" w:rsidRDefault="00325A8F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ascii="Cambria" w:hAnsi="Cambria" w:cs="Arial"/>
          <w:b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i 1 dla </w:t>
      </w:r>
      <w:r>
        <w:rPr>
          <w:rFonts w:ascii="Cambria" w:hAnsi="Cambria" w:cs="Arial"/>
          <w:b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.              </w:t>
      </w:r>
    </w:p>
    <w:p w:rsidR="00E9617A" w:rsidRDefault="00325A8F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25</w:t>
      </w:r>
    </w:p>
    <w:p w:rsidR="00E9617A" w:rsidRDefault="00325A8F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Integralną część niniejszej umowy stanowią :</w:t>
      </w:r>
    </w:p>
    <w:p w:rsidR="00E9617A" w:rsidRDefault="00325A8F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warunków zamówienia.</w:t>
      </w:r>
    </w:p>
    <w:p w:rsidR="00E9617A" w:rsidRDefault="00325A8F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Oferta wykonawcy</w:t>
      </w:r>
    </w:p>
    <w:p w:rsidR="00E9617A" w:rsidRDefault="00325A8F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E9617A" w:rsidRDefault="00325A8F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Harmonogram finansowo – rzeczowy</w:t>
      </w:r>
    </w:p>
    <w:p w:rsidR="00E9617A" w:rsidRDefault="00325A8F">
      <w:pPr>
        <w:pStyle w:val="Tekstpodstawowy"/>
        <w:spacing w:line="276" w:lineRule="auto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>ZAMAWIAJĄCY:</w:t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  <w:t>WYKONAWCA: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br w:type="column"/>
      </w:r>
      <w:r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wykonanych robót w okresie gwarancji</w:t>
      </w:r>
    </w:p>
    <w:p w:rsidR="00E9617A" w:rsidRPr="00B1431A" w:rsidRDefault="00325A8F">
      <w:pPr>
        <w:shd w:val="clear" w:color="auto" w:fill="EDEDED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B1431A">
        <w:rPr>
          <w:rFonts w:ascii="Cambria" w:hAnsi="Cambria"/>
          <w:b/>
          <w:color w:val="000000" w:themeColor="text1"/>
          <w:sz w:val="20"/>
          <w:szCs w:val="20"/>
        </w:rPr>
        <w:t>„</w:t>
      </w:r>
      <w:r w:rsidR="00B751EB" w:rsidRPr="00B1431A">
        <w:rPr>
          <w:rFonts w:ascii="Cambria" w:hAnsi="Cambria" w:cs="Cambria"/>
          <w:b/>
          <w:color w:val="000000" w:themeColor="text1"/>
          <w:sz w:val="20"/>
          <w:szCs w:val="20"/>
        </w:rPr>
        <w:t>Adaptacja i modernizacja pomieszczeń budynku A przy ul. Bohaterów Warszawy 120 na potrzeby Powiatowego Urzędu Pracy w Busku Zdroju</w:t>
      </w:r>
      <w:r w:rsidRPr="00B1431A">
        <w:rPr>
          <w:rFonts w:ascii="Cambria" w:hAnsi="Cambria"/>
          <w:b/>
          <w:color w:val="000000" w:themeColor="text1"/>
          <w:sz w:val="20"/>
          <w:szCs w:val="20"/>
        </w:rPr>
        <w:t>”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Przedmiot i termin gwarancji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§ 1 k.c.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Okres gwarancji wynosi </w:t>
      </w:r>
      <w:r>
        <w:rPr>
          <w:rFonts w:ascii="Cambria" w:hAnsi="Cambria" w:cs="Calibri"/>
          <w:b/>
          <w:sz w:val="20"/>
          <w:szCs w:val="20"/>
        </w:rPr>
        <w:t>…. miesięcy</w:t>
      </w:r>
      <w:r>
        <w:rPr>
          <w:rFonts w:ascii="Cambria" w:hAnsi="Cambria" w:cs="Calibri"/>
          <w:sz w:val="20"/>
          <w:szCs w:val="20"/>
        </w:rPr>
        <w:t>, licząc od dnia odbioru końcowego.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2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szkód wynikłych z winy Użytkownika.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E9617A" w:rsidRDefault="00E9617A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9617A" w:rsidRDefault="00E9617A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9617A" w:rsidRDefault="00E9617A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lastRenderedPageBreak/>
        <w:t>§ 3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Przeglądy gwarancyjne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4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9617A" w:rsidRDefault="00325A8F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9617A" w:rsidRDefault="00325A8F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9617A" w:rsidRDefault="00325A8F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5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Komunikacja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>
        <w:rPr>
          <w:rFonts w:ascii="Cambria" w:hAnsi="Cambria" w:cs="Calibri"/>
          <w:b/>
          <w:sz w:val="20"/>
          <w:szCs w:val="20"/>
          <w:u w:val="single"/>
        </w:rPr>
        <w:t>[adres Wykonawcy</w:t>
      </w:r>
      <w:r>
        <w:rPr>
          <w:rFonts w:ascii="Cambria" w:hAnsi="Cambria" w:cs="Calibri"/>
          <w:sz w:val="20"/>
          <w:szCs w:val="20"/>
        </w:rPr>
        <w:t>]</w:t>
      </w:r>
    </w:p>
    <w:p w:rsidR="00E9617A" w:rsidRDefault="00325A8F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Tahoma"/>
          <w:b/>
          <w:bCs/>
          <w:sz w:val="20"/>
        </w:rPr>
      </w:pPr>
      <w:r>
        <w:rPr>
          <w:rFonts w:ascii="Cambria" w:hAnsi="Cambria" w:cs="Calibri"/>
          <w:sz w:val="20"/>
        </w:rPr>
        <w:t xml:space="preserve">3. Wszelkie pisma skierowane do Zamawiającego należy wysyłać na </w:t>
      </w:r>
      <w:bookmarkStart w:id="3" w:name="_GoBack"/>
      <w:r w:rsidRPr="00B1431A">
        <w:rPr>
          <w:rFonts w:ascii="Cambria" w:hAnsi="Cambria" w:cs="Calibri"/>
          <w:color w:val="000000" w:themeColor="text1"/>
          <w:sz w:val="20"/>
        </w:rPr>
        <w:t xml:space="preserve">adres: </w:t>
      </w:r>
      <w:r w:rsidR="00E37680" w:rsidRPr="00B1431A">
        <w:rPr>
          <w:rFonts w:ascii="Cambria" w:hAnsi="Cambria" w:cs="Cambria"/>
          <w:b/>
          <w:bCs/>
          <w:color w:val="000000" w:themeColor="text1"/>
          <w:sz w:val="20"/>
        </w:rPr>
        <w:t>[adres Zamawiającego]</w:t>
      </w:r>
      <w:r w:rsidRPr="00B1431A">
        <w:rPr>
          <w:rFonts w:ascii="Cambria" w:hAnsi="Cambria" w:cs="Tahoma"/>
          <w:b/>
          <w:bCs/>
          <w:color w:val="000000" w:themeColor="text1"/>
          <w:sz w:val="20"/>
        </w:rPr>
        <w:t>.</w:t>
      </w:r>
      <w:bookmarkEnd w:id="3"/>
    </w:p>
    <w:p w:rsidR="00E9617A" w:rsidRDefault="00325A8F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Calibri"/>
          <w:sz w:val="20"/>
        </w:rPr>
      </w:pPr>
      <w:r>
        <w:rPr>
          <w:rFonts w:ascii="Cambria" w:hAnsi="Cambria" w:cs="Tahoma"/>
          <w:b/>
          <w:bCs/>
          <w:sz w:val="20"/>
        </w:rPr>
        <w:t xml:space="preserve"> </w:t>
      </w:r>
      <w:r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9617A" w:rsidRDefault="00325A8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6</w:t>
      </w:r>
    </w:p>
    <w:p w:rsidR="00E9617A" w:rsidRDefault="00325A8F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Postanowienia końcowe</w:t>
      </w: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3. Wszelkie zmiany niniejszej Karty Gwarancyjnej wymagają formy pisemnej pod rygorem nieważności.</w:t>
      </w: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9617A" w:rsidRDefault="00E9617A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Warunki gwarancji podpisali:</w:t>
      </w:r>
    </w:p>
    <w:p w:rsidR="00E9617A" w:rsidRDefault="00E9617A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9617A" w:rsidRDefault="00325A8F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Przedstawiciel Wykonawcy/Gwarant: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9617A" w:rsidRDefault="00E9617A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9617A" w:rsidRDefault="00E9617A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E9617A">
      <w:footerReference w:type="default" r:id="rId8"/>
      <w:headerReference w:type="first" r:id="rId9"/>
      <w:pgSz w:w="11906" w:h="16838"/>
      <w:pgMar w:top="709" w:right="1134" w:bottom="1134" w:left="1134" w:header="709" w:footer="216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8F" w:rsidRDefault="00325A8F">
      <w:pPr>
        <w:spacing w:after="0" w:line="240" w:lineRule="auto"/>
      </w:pPr>
      <w:r>
        <w:separator/>
      </w:r>
    </w:p>
  </w:endnote>
  <w:endnote w:type="continuationSeparator" w:id="0">
    <w:p w:rsidR="00325A8F" w:rsidRDefault="003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1FA545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7A" w:rsidRDefault="00325A8F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  <w:szCs w:val="24"/>
      </w:rPr>
      <w:fldChar w:fldCharType="begin"/>
    </w:r>
    <w:r>
      <w:rPr>
        <w:b/>
        <w:sz w:val="16"/>
        <w:szCs w:val="24"/>
      </w:rPr>
      <w:instrText>PAGE</w:instrText>
    </w:r>
    <w:r>
      <w:rPr>
        <w:b/>
        <w:sz w:val="16"/>
        <w:szCs w:val="24"/>
      </w:rPr>
      <w:fldChar w:fldCharType="separate"/>
    </w:r>
    <w:r w:rsidR="00E37680">
      <w:rPr>
        <w:b/>
        <w:noProof/>
        <w:sz w:val="16"/>
        <w:szCs w:val="24"/>
      </w:rPr>
      <w:t>15</w:t>
    </w:r>
    <w:r>
      <w:rPr>
        <w:b/>
        <w:sz w:val="16"/>
        <w:szCs w:val="24"/>
      </w:rPr>
      <w:fldChar w:fldCharType="end"/>
    </w:r>
    <w:r>
      <w:rPr>
        <w:sz w:val="16"/>
      </w:rPr>
      <w:t xml:space="preserve"> z </w:t>
    </w:r>
    <w:r>
      <w:rPr>
        <w:b/>
        <w:sz w:val="16"/>
        <w:szCs w:val="24"/>
      </w:rPr>
      <w:fldChar w:fldCharType="begin"/>
    </w:r>
    <w:r>
      <w:rPr>
        <w:b/>
        <w:sz w:val="16"/>
        <w:szCs w:val="24"/>
      </w:rPr>
      <w:instrText>NUMPAGES</w:instrText>
    </w:r>
    <w:r>
      <w:rPr>
        <w:b/>
        <w:sz w:val="16"/>
        <w:szCs w:val="24"/>
      </w:rPr>
      <w:fldChar w:fldCharType="separate"/>
    </w:r>
    <w:r w:rsidR="00E37680">
      <w:rPr>
        <w:b/>
        <w:noProof/>
        <w:sz w:val="16"/>
        <w:szCs w:val="24"/>
      </w:rPr>
      <w:t>16</w:t>
    </w:r>
    <w:r>
      <w:rPr>
        <w:b/>
        <w:sz w:val="16"/>
        <w:szCs w:val="24"/>
      </w:rPr>
      <w:fldChar w:fldCharType="end"/>
    </w:r>
  </w:p>
  <w:p w:rsidR="00E9617A" w:rsidRDefault="00E96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8F" w:rsidRDefault="00325A8F">
      <w:pPr>
        <w:spacing w:after="0" w:line="240" w:lineRule="auto"/>
      </w:pPr>
      <w:r>
        <w:separator/>
      </w:r>
    </w:p>
  </w:footnote>
  <w:footnote w:type="continuationSeparator" w:id="0">
    <w:p w:rsidR="00325A8F" w:rsidRDefault="003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7A" w:rsidRDefault="00E9617A">
    <w:pPr>
      <w:jc w:val="both"/>
      <w:rPr>
        <w:rFonts w:ascii="Cambria" w:hAnsi="Cambria" w:cs="Calibri"/>
        <w:b/>
        <w:sz w:val="20"/>
        <w:szCs w:val="20"/>
      </w:rPr>
    </w:pPr>
  </w:p>
  <w:tbl>
    <w:tblPr>
      <w:tblW w:w="9404" w:type="dxa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2"/>
      <w:gridCol w:w="2132"/>
      <w:gridCol w:w="2569"/>
    </w:tblGrid>
    <w:tr w:rsidR="00E9617A">
      <w:tc>
        <w:tcPr>
          <w:tcW w:w="1910" w:type="dxa"/>
        </w:tcPr>
        <w:p w:rsidR="00E9617A" w:rsidRDefault="00E9617A">
          <w:pPr>
            <w:widowControl w:val="0"/>
            <w:rPr>
              <w:rFonts w:ascii="Cambria" w:hAnsi="Cambria" w:cs="Calibri"/>
              <w:b/>
              <w:sz w:val="20"/>
              <w:szCs w:val="20"/>
            </w:rPr>
          </w:pPr>
        </w:p>
      </w:tc>
      <w:tc>
        <w:tcPr>
          <w:tcW w:w="2792" w:type="dxa"/>
          <w:tcMar>
            <w:left w:w="108" w:type="dxa"/>
            <w:right w:w="108" w:type="dxa"/>
          </w:tcMar>
        </w:tcPr>
        <w:p w:rsidR="00E9617A" w:rsidRDefault="00E9617A">
          <w:pPr>
            <w:widowControl w:val="0"/>
            <w:ind w:left="48"/>
            <w:jc w:val="center"/>
            <w:rPr>
              <w:rFonts w:ascii="Cambria" w:hAnsi="Cambria" w:cs="Calibri"/>
              <w:b/>
              <w:sz w:val="20"/>
              <w:szCs w:val="20"/>
            </w:rPr>
          </w:pPr>
        </w:p>
      </w:tc>
      <w:tc>
        <w:tcPr>
          <w:tcW w:w="2132" w:type="dxa"/>
          <w:tcMar>
            <w:left w:w="108" w:type="dxa"/>
            <w:right w:w="108" w:type="dxa"/>
          </w:tcMar>
        </w:tcPr>
        <w:p w:rsidR="00E9617A" w:rsidRDefault="00E9617A">
          <w:pPr>
            <w:widowControl w:val="0"/>
            <w:ind w:left="-1"/>
            <w:jc w:val="center"/>
            <w:rPr>
              <w:rFonts w:ascii="Cambria" w:hAnsi="Cambria" w:cs="Calibri"/>
              <w:b/>
              <w:sz w:val="20"/>
              <w:szCs w:val="20"/>
            </w:rPr>
          </w:pPr>
        </w:p>
      </w:tc>
      <w:tc>
        <w:tcPr>
          <w:tcW w:w="2569" w:type="dxa"/>
          <w:tcMar>
            <w:left w:w="108" w:type="dxa"/>
            <w:right w:w="108" w:type="dxa"/>
          </w:tcMar>
        </w:tcPr>
        <w:p w:rsidR="00E9617A" w:rsidRDefault="00E9617A">
          <w:pPr>
            <w:widowControl w:val="0"/>
            <w:ind w:right="-1"/>
            <w:jc w:val="right"/>
            <w:rPr>
              <w:rFonts w:ascii="Cambria" w:hAnsi="Cambria" w:cs="Calibri"/>
              <w:b/>
              <w:sz w:val="20"/>
              <w:szCs w:val="20"/>
            </w:rPr>
          </w:pPr>
        </w:p>
      </w:tc>
    </w:tr>
  </w:tbl>
  <w:p w:rsidR="00E9617A" w:rsidRDefault="00325A8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eastAsiaTheme="minorHAnsi" w:hAnsi="Cambria"/>
        <w:sz w:val="20"/>
        <w:szCs w:val="20"/>
      </w:rPr>
      <w:t>ZP.</w:t>
    </w:r>
    <w:r>
      <w:rPr>
        <w:rFonts w:ascii="Cambria" w:hAnsi="Cambria"/>
        <w:sz w:val="20"/>
        <w:szCs w:val="20"/>
      </w:rPr>
      <w:t>272.</w:t>
    </w:r>
    <w:r w:rsidR="00B44714"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.2022</w:t>
    </w:r>
  </w:p>
  <w:p w:rsidR="00E9617A" w:rsidRDefault="00E9617A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BE"/>
    <w:multiLevelType w:val="multilevel"/>
    <w:tmpl w:val="4E940B42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 w15:restartNumberingAfterBreak="0">
    <w:nsid w:val="017A60E8"/>
    <w:multiLevelType w:val="multilevel"/>
    <w:tmpl w:val="BEC29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4777F"/>
    <w:multiLevelType w:val="multilevel"/>
    <w:tmpl w:val="22B6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F97BE7"/>
    <w:multiLevelType w:val="multilevel"/>
    <w:tmpl w:val="22DA867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133AB4"/>
    <w:multiLevelType w:val="multilevel"/>
    <w:tmpl w:val="B55E80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DF785C"/>
    <w:multiLevelType w:val="multilevel"/>
    <w:tmpl w:val="84B0FDB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18867C81"/>
    <w:multiLevelType w:val="multilevel"/>
    <w:tmpl w:val="70B070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AB1302A"/>
    <w:multiLevelType w:val="multilevel"/>
    <w:tmpl w:val="EDACA23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D31088F"/>
    <w:multiLevelType w:val="multilevel"/>
    <w:tmpl w:val="17C66C3E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D4C2795"/>
    <w:multiLevelType w:val="multilevel"/>
    <w:tmpl w:val="5E7EA40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A60038"/>
    <w:multiLevelType w:val="multilevel"/>
    <w:tmpl w:val="4628F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3966757"/>
    <w:multiLevelType w:val="multilevel"/>
    <w:tmpl w:val="5FC44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8810FCF"/>
    <w:multiLevelType w:val="multilevel"/>
    <w:tmpl w:val="5C30F476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294A4448"/>
    <w:multiLevelType w:val="multilevel"/>
    <w:tmpl w:val="88663B7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E8C7246"/>
    <w:multiLevelType w:val="multilevel"/>
    <w:tmpl w:val="95AEB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EFF30EC"/>
    <w:multiLevelType w:val="multilevel"/>
    <w:tmpl w:val="FD5C53A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1971D7E"/>
    <w:multiLevelType w:val="multilevel"/>
    <w:tmpl w:val="280CC2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EE6C3E"/>
    <w:multiLevelType w:val="multilevel"/>
    <w:tmpl w:val="AA0E69D0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E946A76"/>
    <w:multiLevelType w:val="multilevel"/>
    <w:tmpl w:val="21AC2AF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C86F1C"/>
    <w:multiLevelType w:val="multilevel"/>
    <w:tmpl w:val="B8622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40663A3"/>
    <w:multiLevelType w:val="multilevel"/>
    <w:tmpl w:val="6930B3FA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4C0B4B"/>
    <w:multiLevelType w:val="multilevel"/>
    <w:tmpl w:val="B68216A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6B12559"/>
    <w:multiLevelType w:val="multilevel"/>
    <w:tmpl w:val="E8603F8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8657CD5"/>
    <w:multiLevelType w:val="multilevel"/>
    <w:tmpl w:val="B1CA2ED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1820FA"/>
    <w:multiLevelType w:val="multilevel"/>
    <w:tmpl w:val="7B0051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D795E5D"/>
    <w:multiLevelType w:val="multilevel"/>
    <w:tmpl w:val="9E2C93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0175243"/>
    <w:multiLevelType w:val="multilevel"/>
    <w:tmpl w:val="1162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1211C57"/>
    <w:multiLevelType w:val="multilevel"/>
    <w:tmpl w:val="CDBEA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12D5F3B"/>
    <w:multiLevelType w:val="multilevel"/>
    <w:tmpl w:val="3F56577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90B4998"/>
    <w:multiLevelType w:val="multilevel"/>
    <w:tmpl w:val="2B909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556A62"/>
    <w:multiLevelType w:val="multilevel"/>
    <w:tmpl w:val="DD1C2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3852AB"/>
    <w:multiLevelType w:val="multilevel"/>
    <w:tmpl w:val="7762470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 w15:restartNumberingAfterBreak="0">
    <w:nsid w:val="5FAD41A9"/>
    <w:multiLevelType w:val="multilevel"/>
    <w:tmpl w:val="4E18561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1EF5B40"/>
    <w:multiLevelType w:val="multilevel"/>
    <w:tmpl w:val="BCAEE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3C53920"/>
    <w:multiLevelType w:val="multilevel"/>
    <w:tmpl w:val="78889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523438E"/>
    <w:multiLevelType w:val="multilevel"/>
    <w:tmpl w:val="C3E2309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3A608D"/>
    <w:multiLevelType w:val="multilevel"/>
    <w:tmpl w:val="A96AE0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581CA8"/>
    <w:multiLevelType w:val="multilevel"/>
    <w:tmpl w:val="19FA1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CB94201"/>
    <w:multiLevelType w:val="multilevel"/>
    <w:tmpl w:val="AFF4C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02C0D6C"/>
    <w:multiLevelType w:val="multilevel"/>
    <w:tmpl w:val="45B8205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2736CA3"/>
    <w:multiLevelType w:val="multilevel"/>
    <w:tmpl w:val="CC7EA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58B3055"/>
    <w:multiLevelType w:val="multilevel"/>
    <w:tmpl w:val="B068FD58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9C96585"/>
    <w:multiLevelType w:val="multilevel"/>
    <w:tmpl w:val="FCDE72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C59400D"/>
    <w:multiLevelType w:val="multilevel"/>
    <w:tmpl w:val="F2462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16"/>
  </w:num>
  <w:num w:numId="6">
    <w:abstractNumId w:val="29"/>
  </w:num>
  <w:num w:numId="7">
    <w:abstractNumId w:val="43"/>
  </w:num>
  <w:num w:numId="8">
    <w:abstractNumId w:val="28"/>
  </w:num>
  <w:num w:numId="9">
    <w:abstractNumId w:val="24"/>
  </w:num>
  <w:num w:numId="10">
    <w:abstractNumId w:val="38"/>
  </w:num>
  <w:num w:numId="11">
    <w:abstractNumId w:val="8"/>
  </w:num>
  <w:num w:numId="12">
    <w:abstractNumId w:val="40"/>
  </w:num>
  <w:num w:numId="13">
    <w:abstractNumId w:val="3"/>
  </w:num>
  <w:num w:numId="14">
    <w:abstractNumId w:val="23"/>
  </w:num>
  <w:num w:numId="15">
    <w:abstractNumId w:val="11"/>
  </w:num>
  <w:num w:numId="16">
    <w:abstractNumId w:val="26"/>
  </w:num>
  <w:num w:numId="17">
    <w:abstractNumId w:val="21"/>
  </w:num>
  <w:num w:numId="18">
    <w:abstractNumId w:val="33"/>
  </w:num>
  <w:num w:numId="19">
    <w:abstractNumId w:val="37"/>
  </w:num>
  <w:num w:numId="20">
    <w:abstractNumId w:val="32"/>
  </w:num>
  <w:num w:numId="21">
    <w:abstractNumId w:val="13"/>
  </w:num>
  <w:num w:numId="22">
    <w:abstractNumId w:val="18"/>
  </w:num>
  <w:num w:numId="23">
    <w:abstractNumId w:val="22"/>
  </w:num>
  <w:num w:numId="24">
    <w:abstractNumId w:val="17"/>
  </w:num>
  <w:num w:numId="25">
    <w:abstractNumId w:val="41"/>
  </w:num>
  <w:num w:numId="26">
    <w:abstractNumId w:val="39"/>
  </w:num>
  <w:num w:numId="27">
    <w:abstractNumId w:val="15"/>
  </w:num>
  <w:num w:numId="28">
    <w:abstractNumId w:val="35"/>
  </w:num>
  <w:num w:numId="29">
    <w:abstractNumId w:val="30"/>
  </w:num>
  <w:num w:numId="30">
    <w:abstractNumId w:val="31"/>
  </w:num>
  <w:num w:numId="31">
    <w:abstractNumId w:val="10"/>
  </w:num>
  <w:num w:numId="32">
    <w:abstractNumId w:val="9"/>
  </w:num>
  <w:num w:numId="33">
    <w:abstractNumId w:val="4"/>
  </w:num>
  <w:num w:numId="34">
    <w:abstractNumId w:val="42"/>
  </w:num>
  <w:num w:numId="35">
    <w:abstractNumId w:val="20"/>
  </w:num>
  <w:num w:numId="36">
    <w:abstractNumId w:val="7"/>
  </w:num>
  <w:num w:numId="37">
    <w:abstractNumId w:val="36"/>
  </w:num>
  <w:num w:numId="38">
    <w:abstractNumId w:val="1"/>
  </w:num>
  <w:num w:numId="39">
    <w:abstractNumId w:val="5"/>
  </w:num>
  <w:num w:numId="40">
    <w:abstractNumId w:val="27"/>
  </w:num>
  <w:num w:numId="41">
    <w:abstractNumId w:val="6"/>
  </w:num>
  <w:num w:numId="42">
    <w:abstractNumId w:val="34"/>
  </w:num>
  <w:num w:numId="43">
    <w:abstractNumId w:val="25"/>
  </w:num>
  <w:num w:numId="44">
    <w:abstractNumId w:val="14"/>
  </w:num>
  <w:num w:numId="45">
    <w:abstractNumId w:val="27"/>
    <w:lvlOverride w:ilvl="0">
      <w:startOverride w:val="1"/>
    </w:lvlOverride>
  </w:num>
  <w:num w:numId="46">
    <w:abstractNumId w:val="27"/>
  </w:num>
  <w:num w:numId="47">
    <w:abstractNumId w:val="2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7A"/>
    <w:rsid w:val="00325A8F"/>
    <w:rsid w:val="00B1431A"/>
    <w:rsid w:val="00B44714"/>
    <w:rsid w:val="00B751EB"/>
    <w:rsid w:val="00E37680"/>
    <w:rsid w:val="00E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821A1-AD51-48C3-B4C0-4EC68B50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customStyle="1" w:styleId="Odwiedzoneczeinternetowe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F0B98"/>
  </w:style>
  <w:style w:type="character" w:customStyle="1" w:styleId="AkapitzlistZnak">
    <w:name w:val="Akapit z listą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sid w:val="004D3F6E"/>
    <w:rPr>
      <w:rFonts w:ascii="Times New Roman" w:eastAsia="Times New Roman" w:hAnsi="Times New Roman"/>
      <w:b/>
      <w:sz w:val="26"/>
      <w:lang w:eastAsia="en-US"/>
    </w:rPr>
  </w:style>
  <w:style w:type="character" w:customStyle="1" w:styleId="FontStyle32">
    <w:name w:val="Font Style32"/>
    <w:uiPriority w:val="99"/>
    <w:qFormat/>
    <w:rsid w:val="003B2114"/>
    <w:rPr>
      <w:rFonts w:ascii="Arial Unicode MS" w:eastAsia="Arial Unicode MS" w:hAnsi="Arial Unicode MS"/>
      <w:sz w:val="14"/>
    </w:rPr>
  </w:style>
  <w:style w:type="character" w:customStyle="1" w:styleId="NagwekZnak1">
    <w:name w:val="Nagłówek Znak1"/>
    <w:uiPriority w:val="99"/>
    <w:qFormat/>
    <w:locked/>
    <w:rsid w:val="00D07C3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tabs>
        <w:tab w:val="left" w:pos="426"/>
      </w:tabs>
      <w:spacing w:after="0" w:line="240" w:lineRule="auto"/>
      <w:ind w:left="426"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F0B98"/>
    <w:pPr>
      <w:spacing w:after="120" w:line="480" w:lineRule="auto"/>
      <w:ind w:left="283"/>
    </w:pPr>
  </w:style>
  <w:style w:type="paragraph" w:customStyle="1" w:styleId="w2zmart">
    <w:name w:val="w2zm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Standard"/>
    <w:qFormat/>
    <w:rsid w:val="003B2114"/>
    <w:pPr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2"/>
      <w:lang w:eastAsia="zh-CN" w:bidi="hi-IN"/>
    </w:rPr>
  </w:style>
  <w:style w:type="paragraph" w:customStyle="1" w:styleId="Tekstpodstawowy31">
    <w:name w:val="Tekst podstawowy 31"/>
    <w:basedOn w:val="Normalny"/>
    <w:qFormat/>
    <w:rsid w:val="00CB0E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  <w:style w:type="numbering" w:customStyle="1" w:styleId="WW8Num27">
    <w:name w:val="WW8Num27"/>
    <w:qFormat/>
    <w:rsid w:val="004D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1909-B4F4-4017-87C1-B99AD625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6811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Dell</cp:lastModifiedBy>
  <cp:revision>11</cp:revision>
  <cp:lastPrinted>2022-05-12T12:06:00Z</cp:lastPrinted>
  <dcterms:created xsi:type="dcterms:W3CDTF">2021-09-23T10:52:00Z</dcterms:created>
  <dcterms:modified xsi:type="dcterms:W3CDTF">2022-11-09T11:44:00Z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